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367666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Supplementary Table S6. Distribution of COG functional categories identified by eggNOG-mapper across the 61,747 predicted proteins from the 32 genomes analyzed in this study.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54"/>
        <w:gridCol w:w="4738"/>
        <w:gridCol w:w="1546"/>
        <w:gridCol w:w="121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4" w:type="dxa"/>
            <w:vAlign w:val="center"/>
          </w:tcPr>
          <w:p w14:paraId="5D63DBF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COG Code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38" w:type="dxa"/>
            <w:vAlign w:val="center"/>
          </w:tcPr>
          <w:p w14:paraId="6AF99D5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Functional Category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6" w:type="dxa"/>
            <w:vAlign w:val="center"/>
          </w:tcPr>
          <w:p w14:paraId="3321599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Number of Proteins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17" w:type="dxa"/>
            <w:vAlign w:val="center"/>
          </w:tcPr>
          <w:p w14:paraId="07640D5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Percentage (%)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4" w:type="dxa"/>
            <w:vAlign w:val="center"/>
          </w:tcPr>
          <w:p w14:paraId="1EC066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38" w:type="dxa"/>
            <w:vAlign w:val="center"/>
          </w:tcPr>
          <w:p w14:paraId="2AD76A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Function unknown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6" w:type="dxa"/>
            <w:vAlign w:val="center"/>
          </w:tcPr>
          <w:p w14:paraId="0890EC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12,261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17" w:type="dxa"/>
            <w:vAlign w:val="center"/>
          </w:tcPr>
          <w:p w14:paraId="054EAC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19.86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4" w:type="dxa"/>
            <w:vAlign w:val="center"/>
          </w:tcPr>
          <w:p w14:paraId="1AD08B6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38" w:type="dxa"/>
            <w:vAlign w:val="center"/>
          </w:tcPr>
          <w:p w14:paraId="444B0FA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Transcription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6" w:type="dxa"/>
            <w:vAlign w:val="center"/>
          </w:tcPr>
          <w:p w14:paraId="30C7E6F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3,987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17" w:type="dxa"/>
            <w:vAlign w:val="center"/>
          </w:tcPr>
          <w:p w14:paraId="02FC892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6.46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4" w:type="dxa"/>
            <w:vAlign w:val="center"/>
          </w:tcPr>
          <w:p w14:paraId="150DF5F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38" w:type="dxa"/>
            <w:vAlign w:val="center"/>
          </w:tcPr>
          <w:p w14:paraId="70BFCD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Cell wall/membrane/envelope biogenesis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6" w:type="dxa"/>
            <w:vAlign w:val="center"/>
          </w:tcPr>
          <w:p w14:paraId="760AFA1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3,884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17" w:type="dxa"/>
            <w:vAlign w:val="center"/>
          </w:tcPr>
          <w:p w14:paraId="0CC6707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6.29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4" w:type="dxa"/>
            <w:vAlign w:val="center"/>
          </w:tcPr>
          <w:p w14:paraId="2F83637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38" w:type="dxa"/>
            <w:vAlign w:val="center"/>
          </w:tcPr>
          <w:p w14:paraId="4EEF462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Amino acid transport and metabolism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6" w:type="dxa"/>
            <w:vAlign w:val="center"/>
          </w:tcPr>
          <w:p w14:paraId="57C6EE0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3,741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17" w:type="dxa"/>
            <w:vAlign w:val="center"/>
          </w:tcPr>
          <w:p w14:paraId="0FEFE66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6.06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4" w:type="dxa"/>
            <w:vAlign w:val="center"/>
          </w:tcPr>
          <w:p w14:paraId="43B4EF5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38" w:type="dxa"/>
            <w:vAlign w:val="center"/>
          </w:tcPr>
          <w:p w14:paraId="7CC9FE1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Inorganic ion transport and metabolism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6" w:type="dxa"/>
            <w:vAlign w:val="center"/>
          </w:tcPr>
          <w:p w14:paraId="642E0C1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3,648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17" w:type="dxa"/>
            <w:vAlign w:val="center"/>
          </w:tcPr>
          <w:p w14:paraId="5DF428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5.91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4" w:type="dxa"/>
            <w:vAlign w:val="center"/>
          </w:tcPr>
          <w:p w14:paraId="2269B0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38" w:type="dxa"/>
            <w:vAlign w:val="center"/>
          </w:tcPr>
          <w:p w14:paraId="029F080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Replication, recombination and repair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6" w:type="dxa"/>
            <w:vAlign w:val="center"/>
          </w:tcPr>
          <w:p w14:paraId="5E6C0E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3,313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17" w:type="dxa"/>
            <w:vAlign w:val="center"/>
          </w:tcPr>
          <w:p w14:paraId="3352675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5.37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4" w:type="dxa"/>
            <w:vAlign w:val="center"/>
          </w:tcPr>
          <w:p w14:paraId="4FE49E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38" w:type="dxa"/>
            <w:vAlign w:val="center"/>
          </w:tcPr>
          <w:p w14:paraId="27F8318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Energy production and conversion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6" w:type="dxa"/>
            <w:vAlign w:val="center"/>
          </w:tcPr>
          <w:p w14:paraId="1629F09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3,186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17" w:type="dxa"/>
            <w:vAlign w:val="center"/>
          </w:tcPr>
          <w:p w14:paraId="4C9177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5.16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4" w:type="dxa"/>
            <w:vAlign w:val="center"/>
          </w:tcPr>
          <w:p w14:paraId="552B942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38" w:type="dxa"/>
            <w:vAlign w:val="center"/>
          </w:tcPr>
          <w:p w14:paraId="72C247B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Carbohydrate transport and metabolism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6" w:type="dxa"/>
            <w:vAlign w:val="center"/>
          </w:tcPr>
          <w:p w14:paraId="4C8030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2,971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17" w:type="dxa"/>
            <w:vAlign w:val="center"/>
          </w:tcPr>
          <w:p w14:paraId="6C9D6B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4.81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4" w:type="dxa"/>
            <w:vAlign w:val="center"/>
          </w:tcPr>
          <w:p w14:paraId="78D5E81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38" w:type="dxa"/>
            <w:vAlign w:val="center"/>
          </w:tcPr>
          <w:p w14:paraId="14E0035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Translation, ribosomal structure and biogenesis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6" w:type="dxa"/>
            <w:vAlign w:val="center"/>
          </w:tcPr>
          <w:p w14:paraId="069B839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2,824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17" w:type="dxa"/>
            <w:vAlign w:val="center"/>
          </w:tcPr>
          <w:p w14:paraId="51ECFA2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4.57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4" w:type="dxa"/>
            <w:vAlign w:val="center"/>
          </w:tcPr>
          <w:p w14:paraId="7FB3D89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38" w:type="dxa"/>
            <w:vAlign w:val="center"/>
          </w:tcPr>
          <w:p w14:paraId="217C2AC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Signal transduction mechanisms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6" w:type="dxa"/>
            <w:vAlign w:val="center"/>
          </w:tcPr>
          <w:p w14:paraId="22BE755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2,170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17" w:type="dxa"/>
            <w:vAlign w:val="center"/>
          </w:tcPr>
          <w:p w14:paraId="5BF406B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3.51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4" w:type="dxa"/>
            <w:vAlign w:val="center"/>
          </w:tcPr>
          <w:p w14:paraId="0DDFDD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38" w:type="dxa"/>
            <w:vAlign w:val="center"/>
          </w:tcPr>
          <w:p w14:paraId="73055F2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Post-translational modification, protein turnover and chaperones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6" w:type="dxa"/>
            <w:vAlign w:val="center"/>
          </w:tcPr>
          <w:p w14:paraId="2D72370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1,866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17" w:type="dxa"/>
            <w:vAlign w:val="center"/>
          </w:tcPr>
          <w:p w14:paraId="5CAC69A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3.02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4" w:type="dxa"/>
            <w:vAlign w:val="center"/>
          </w:tcPr>
          <w:p w14:paraId="736C909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38" w:type="dxa"/>
            <w:vAlign w:val="center"/>
          </w:tcPr>
          <w:p w14:paraId="1F16CD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Coenzyme transport and metabolism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6" w:type="dxa"/>
            <w:vAlign w:val="center"/>
          </w:tcPr>
          <w:p w14:paraId="04B2C80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1,814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17" w:type="dxa"/>
            <w:vAlign w:val="center"/>
          </w:tcPr>
          <w:p w14:paraId="6A5461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2.94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4" w:type="dxa"/>
            <w:vAlign w:val="center"/>
          </w:tcPr>
          <w:p w14:paraId="372181F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38" w:type="dxa"/>
            <w:vAlign w:val="center"/>
          </w:tcPr>
          <w:p w14:paraId="2CFAEA0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Lipid transport and metabolism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6" w:type="dxa"/>
            <w:vAlign w:val="center"/>
          </w:tcPr>
          <w:p w14:paraId="33329E3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1,678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17" w:type="dxa"/>
            <w:vAlign w:val="center"/>
          </w:tcPr>
          <w:p w14:paraId="76FF95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2.72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4" w:type="dxa"/>
            <w:vAlign w:val="center"/>
          </w:tcPr>
          <w:p w14:paraId="2594FB0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38" w:type="dxa"/>
            <w:vAlign w:val="center"/>
          </w:tcPr>
          <w:p w14:paraId="2924A59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Nucleotide transport and metabolism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6" w:type="dxa"/>
            <w:vAlign w:val="center"/>
          </w:tcPr>
          <w:p w14:paraId="5A8ED1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1,481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17" w:type="dxa"/>
            <w:vAlign w:val="center"/>
          </w:tcPr>
          <w:p w14:paraId="626AF7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2.40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4" w:type="dxa"/>
            <w:vAlign w:val="center"/>
          </w:tcPr>
          <w:p w14:paraId="7DFC10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38" w:type="dxa"/>
            <w:vAlign w:val="center"/>
          </w:tcPr>
          <w:p w14:paraId="613EDBB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Intracellular trafficking, secretion and vesicular transport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6" w:type="dxa"/>
            <w:vAlign w:val="center"/>
          </w:tcPr>
          <w:p w14:paraId="757FC2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1,152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17" w:type="dxa"/>
            <w:vAlign w:val="center"/>
          </w:tcPr>
          <w:p w14:paraId="059F299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1.87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4" w:type="dxa"/>
            <w:vAlign w:val="center"/>
          </w:tcPr>
          <w:p w14:paraId="36F6E7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38" w:type="dxa"/>
            <w:vAlign w:val="center"/>
          </w:tcPr>
          <w:p w14:paraId="2D6273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Defense mechanisms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6" w:type="dxa"/>
            <w:vAlign w:val="center"/>
          </w:tcPr>
          <w:p w14:paraId="60FA72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893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17" w:type="dxa"/>
            <w:vAlign w:val="center"/>
          </w:tcPr>
          <w:p w14:paraId="5DCA235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1.45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4" w:type="dxa"/>
            <w:vAlign w:val="center"/>
          </w:tcPr>
          <w:p w14:paraId="65E577F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38" w:type="dxa"/>
            <w:vAlign w:val="center"/>
          </w:tcPr>
          <w:p w14:paraId="6911839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Secondary metabolite biosynthesis, transport and catabolism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6" w:type="dxa"/>
            <w:vAlign w:val="center"/>
          </w:tcPr>
          <w:p w14:paraId="087E83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881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17" w:type="dxa"/>
            <w:vAlign w:val="center"/>
          </w:tcPr>
          <w:p w14:paraId="771AE18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1.43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4" w:type="dxa"/>
            <w:vAlign w:val="center"/>
          </w:tcPr>
          <w:p w14:paraId="64ECABF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38" w:type="dxa"/>
            <w:vAlign w:val="center"/>
          </w:tcPr>
          <w:p w14:paraId="067A50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Cell cycle control, cell division and chromosome partitioning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6" w:type="dxa"/>
            <w:vAlign w:val="center"/>
          </w:tcPr>
          <w:p w14:paraId="37AA1B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658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17" w:type="dxa"/>
            <w:vAlign w:val="center"/>
          </w:tcPr>
          <w:p w14:paraId="3CA292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1.07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4" w:type="dxa"/>
            <w:vAlign w:val="center"/>
          </w:tcPr>
          <w:p w14:paraId="426D2A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Not assigned (NT)*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38" w:type="dxa"/>
            <w:vAlign w:val="center"/>
          </w:tcPr>
          <w:p w14:paraId="1858C8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Proteins lacking a classified single-letter COG category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6" w:type="dxa"/>
            <w:vAlign w:val="center"/>
          </w:tcPr>
          <w:p w14:paraId="3D8A41E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627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17" w:type="dxa"/>
            <w:vAlign w:val="center"/>
          </w:tcPr>
          <w:p w14:paraId="4CF2BF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1.02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4" w:type="dxa"/>
            <w:vAlign w:val="center"/>
          </w:tcPr>
          <w:p w14:paraId="04F217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COG assignment (-)†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38" w:type="dxa"/>
            <w:vAlign w:val="center"/>
          </w:tcPr>
          <w:p w14:paraId="655611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Proteins without a COG functional category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6" w:type="dxa"/>
            <w:vAlign w:val="center"/>
          </w:tcPr>
          <w:p w14:paraId="5AF441C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3,744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17" w:type="dxa"/>
            <w:vAlign w:val="center"/>
          </w:tcPr>
          <w:p w14:paraId="3E3A25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6.06</w:t>
            </w:r>
            <w:r/>
          </w:p>
        </w:tc>
      </w:tr>
    </w:tbl>
    <w:p w14:paraId="48A403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Total predicted proteins: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61,747</w:t>
      </w:r>
      <w:r/>
    </w:p>
    <w:p w14:paraId="058BFB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Functionally annotated proteins: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61,702 (99.9%)</w:t>
      </w:r>
      <w:r/>
    </w:p>
    <w:p w14:paraId="490C4A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Abbreviations: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COG, Clusters of Orthologous Groups. Functional annotation was performed using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eggNOG-mapper v2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Percentages were calculated relative to the total number of predicted proteins. The symbol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"–"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denotes proteins for which no COG functional category was assigned despite successful annotation.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represents proteins assigned multiple or non-standard COG category combinations by eggNOG-mapper.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2026-07-13T13:12:43Z</dcterms:modified>
</cp:coreProperties>
</file>