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Proposta de TCC Gustavo Almeida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 computação em nuvem oferece recursos, como processamento, armazenamento e rede, através de máquinas virtuais (VMs), conforme a necessidade do usuário. O uso de recursos em nuvem tem crescido há alguns anos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8f9fa" w:val="clear"/>
          <w:rtl w:val="0"/>
        </w:rPr>
        <w:t xml:space="preserve"> Atualmente, a comunidade científica  também tem apresentado interesse nas utilização de   nuvens computacionais, pela disponibilidade de  uma variedade grande de recursos, que podem ser utilizados sob demanda, pagando-se apenas o que for utilizado. Tipicamente,  os recursos de infra estrutura da nuvem são utilizados através de máquinas virtuais. No entanto, mais recentemente a  utilização de contêineres vem crescendo  e ganhando popularidade devido às suas características.. Os contêineres são considerados ferramentas de virtualização mais leves do que as máquinas virtuais.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Nesse sentido, os provedores de serviços em nuvem de hoje também estão oferecendo a implantação de contêineres. (por exemplo, Docker, LXC, etc.). O conceito  de contêiner é semelhante à VM, mas consome comparativamente menos tempo e recursos. Na conteinerização, o mesmo kernel está sendo compartilhado entre os contêineres e o sistema operacional da máquina física; daí estes serem mais leves em comparação com as VMs. Na conteinerização, os componentes de hardware e software são compartilhados entre a máquina física, o sistema operacional (SO) e os aplicativos dos contêineres. O sistema operacional da máquina física é o principal responsável para garantir o isolamento entre as aplicações dos contêineres.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desempenho do ambiente não virtualizado difere do ambiente virtualizado devido às interações das máquinas virtuais com a camada de abstração chamada VMM (virtual manager monitor) e bibliotecas de virtualização por partes de interfaces de contêineres.</w:t>
        <w:br w:type="textWrapping"/>
        <w:t xml:space="preserve">Apesar de contêineres serem mais leves e fazerem o uso do espaço do usuário ao lado do espaço usuário padrão de um sistema operacional, podemos fazer uma comparação entre a execução de tarefas que rodam em sistemas operacionais diretamente sobre o hardware físico e contêineres sobre o mesmo sistema operacional, pois a arquitetura de acesso do kernel linux são diferentes; E seguindo esse raciocínio, através de diversos experimentos conheceremos o desempenho das interfaces de virtualização, ocasionando uma melhor alocação de recursos, e assim, melhorando também a eficiência na execução de tarefas.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Dessa forma, esse projeto propoẽ uma análise do desempenho  de vários benchmarks quando executados em diversos ambientes de contêineres com o objetivo de auxiliar a compreensão  do efeito da conteinerização no tempo de execução de aplicações dos mais diversos perfis.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proposta deste trabalho é avaliar o desempenho de um conjunto de  contêineres como docker, containerd, singularity e rkt utilizando aplicações representativas de diversas áreas, fazendo o uso de benchmarks bem consolidados no meio acadêmico, tanto na nuvem como em uma máquina física..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Dentre os benchmarks adotados, as categorias escolhidas são: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FIO, o benchmark de I/O de um container e cluster de contêineres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Paradnn, benchmark de deep learn com CPU, GPU e TPU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BigDataBench, benchmark de big data o mais flexível que atende mais tipos de SGBD distribuídos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TPC-C (Transaction Process Council) benchmark de banco de dados relacional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 Parallel Benchmarks - benchmark de CPU criado pela nasa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Iperf - Benchmark de redes entre containers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 as aplicações para benchmark e os tipos de  contêineres definidos, o próximo passo será testar o comportamento  de cada uma dessas tecnologias na execução de  benchmarks relacionados. Utilizaremos também os seguintes orquestradores de contêineres candidatos aos testes on-premise são kubernetes(K8S), mini-kube(k3s), docker swarm e em nuvem serão Elastic Container Service(ECS), Google Kubernetes Engine (GKE) e  Azure Kubernetes Service (AKS)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Dessa maneira, serão avaliados diferentes aplicações e ambientes com contêineres e orquestradores, de forma a representar as principais cargas de trabalho científicas e utilização de softwares utilizados no mercado.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Os testes iniciais deverão ser realizados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meu notebook</w:t>
        </w:r>
      </w:hyperlink>
      <w:r w:rsidDel="00000000" w:rsidR="00000000" w:rsidRPr="00000000">
        <w:rPr>
          <w:rtl w:val="0"/>
        </w:rPr>
        <w:t xml:space="preserve">, hoje com 32Gb de ram, com linux mint instalado de kernel 5.14.0-1027-oem. </w:t>
        <w:br w:type="textWrapping"/>
        <w:t xml:space="preserve">Se os resultados forem satisfatórios, os novos testes ocorrerão em provedores de nuvem, caso os resultados não sejam satisfatórios, novos testes deverão ocorrer em outra máquina, podendo ser da UFF e provedor de nuvem. Se mesmo assim os resultados não forem satisfatórios, uma revisão bibliográfica será feita e os dados serão publicados no TCC indicando alguma divergência com a teoria.</w:t>
        <w:br w:type="textWrapping"/>
        <w:t xml:space="preserve">Cada teste deve ser realizado por pelo menos 10 vezes com um cálculo de média e desvio padrão entre resultados para melhor precisão, e em caso de variância mais alta haverá mais uma rodada de teste. Todos os softwares e interfaces de container serão utilizados na sua versão mais recente possível, em caso de incompatibilidade de versão poderá haver testes de conceito em máquinas virtuais utilizando primeiramente o meu notebook e posteriormente outras máquinas que possuem uma versão menor de sistema operacional, bibliotecas e versão do kernel. Apesar disso, todas as comparações de software terão como o foco principal uma comparação com o mesmo sistema que irá rodar o benchmark para que a comparação seja mais justa possível com as interfaces de contêineres.</w:t>
        <w:br w:type="textWrapping"/>
        <w:t xml:space="preserve">O teste em nuvem deverá ocorrer sobre máquinas com interfaces de containeres instalados e suas redes definidas, ou seja, vms em nuvem. Dessa forma, não serão utilizados serviços de contêiner oferecidos por provedores de nuvem, pois assim como ECS, AKS e entre outros, todos eles possuem um padrão baseado em kubernetes e não possuem um acesso remoto que permite configuração de dentro do container. Nesse sentido, configurar um benchmark neste tipo de serviço seria árduo, pois seria necessário o desenvolvimento de sistema que atende às requisições por API e retornando os resultados logo após.</w:t>
        <w:br w:type="textWrapping"/>
        <w:t xml:space="preserve">Com isso, com todos os resultados prontos, o teste em nuvem poderá ser mais abrangente, com mais famílias distintas de máquinas virtuais oferecidas pelo seu provedor e assim, obter mais informações sobre o comportamento das máquinas conforme o tipo de benchmark.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 de início: 28/03 (o mais breve possível ou a data de aprovação da proposta)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Testes em hosts locais</w:t>
      </w:r>
      <w:r w:rsidDel="00000000" w:rsidR="00000000" w:rsidRPr="00000000">
        <w:rPr>
          <w:rtl w:val="0"/>
        </w:rPr>
        <w:br w:type="textWrapping"/>
        <w:t xml:space="preserve">instalação das interfaces de contêineres e escrever  sobre a parte teórica de cada uma das interfaces e construção de cluster de contêiner: 3 semanas (11/04)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Benchmark FIO e parte teórica: 2 semanas (29/04)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benchmark paradnn e escrita teórica: 2 semanas (13/05)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big data bench e escrita teórica: 3 semanas ( 3/06)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TPC-C e escrita parte teórica: 2 semanas (24/06)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NAS Parallel Benchmarks e escrita parte teórica: 3 semanas (15/07)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Iperf: 1 semana (22/07)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Testes na nuvem</w:t>
      </w:r>
      <w:r w:rsidDel="00000000" w:rsidR="00000000" w:rsidRPr="00000000">
        <w:rPr>
          <w:rtl w:val="0"/>
        </w:rPr>
        <w:br w:type="textWrapping"/>
        <w:t xml:space="preserve">Testes na aws: 2 semanas (05/08)</w:t>
        <w:br w:type="textWrapping"/>
        <w:t xml:space="preserve">Testes em outro provedor de nuvem: 2 semanas (19/08)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e ajustes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Revisão de texto ou solução de problemas 4 meses (até 18/12)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Existe uma enorme gama de trabalhos relacionados sobre a comparação de tipos de virtualização e seus similares, que apresentam análise de desempenho através de benchmarks.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 trabalho de Arango et al.[1] fez uma comparação de desempenho 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ferramentas de virtualização baseadas em contêiner (Docker, LXC, Singu-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laridade) contra bare-metal, e concluiu que os containers Singularity são geralmente mais adequados para implementação de HPC do que Docker ou LXC.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 trabalho de Chung et al. [2] compara Docker com VM utilizando KVM para aplicações intensivas em computação (Linpack) e intensivas em dados (Graph500) mostrando que o desempenho do Docker é superior para aplicações intensivas em dados.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Felter et al. [3] analisaram o desempenho de máquinas virtuais (KVM) e compararam com contêineres (Docker). Mostraram que os overheads de CPU e memória foram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mínimos, tanto para máquinas virtuais quanto para contêineres. Porém, essas tecnologias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encontraram dificuldades quando a carga trabalho foi intensiva em E/S, pelo menos em 2015..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Bhimani et al. [4] investigaram o desempenho de diferentes aplicações do Apache Spark usando máquinas virtuais e contêineres do Docker. Esse estudo compara as diferentes estruturas de virtualização para um ambiente de nuvem empresarial de big data usando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 Apache Spark. Além do makespan e do tempo de execução, também são analisadas diferentes utilizações de recursos (CPU, disco, memória etc) pelas aplicações Spark. Os resultados mostram que, usando o Docker, o Spark pode obter uma aceleração de mais de 10 vezes em comparação com o uso da máquina virtual. Essa aceleração foi devida ao recurso copy-on-write (COW) disponibilizado pelo Docker e driver específico para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armazenamento que melhoram o desempenho de algumas aplicações Spark. Porém, para interações massivas de E/S aleatória não é recomendável o uso de conteiner.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Younge et al. [5] utilizam os benchmarks HPCG e IMB para avaliar os overheads e a escalabilidade dos contêineres, usando Singularity, no sistema Cray XC30. Além disso, utilizaram o ambiente EC2 da Amazon para comparações. Os autores chegaram à conclusão de que os contêineres utilizando o Singularity atingem desempenho próximo ao nativo quando utilizam as bibliotecas MPI da CRAY, enquanto o EC2 da Amazon seria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útil para o desenvolvimento inicial e teste de aplicações HPC.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Kon et al. [6] avaliaram o impacto do uso de contêiner, no caso o Docker, para o caso de muitos contêineres serem executados em um mesmo hardware.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Os autores revelaram que o contêiner poderia alcançar o desempenho semelhante ao do sistema operacional do host, exceto em casos de processamento de E/S intensivo.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 Silva et al. [16] Indicaram que as virtualizações baseadas em contêineres tiveram um desempenho melhor que a gerenciada por hypervisor. Porém, de modo geral, todos os ambientes tiveram um desempenho próximo ao nativo com uma diferença de no máximo 3% melhor, comparando contêineres e máquina física.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Links das aplicações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FIO, o benchmark de I/O de um container e cluster de contêineres</w:t>
        <w:br w:type="textWrapping"/>
        <w:t xml:space="preserve">Link da aplicação: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https://github.com/axboe/fio</w:t>
        </w:r>
      </w:hyperlink>
      <w:r w:rsidDel="00000000" w:rsidR="00000000" w:rsidRPr="00000000">
        <w:rPr>
          <w:rtl w:val="0"/>
        </w:rPr>
        <w:br w:type="textWrapping"/>
        <w:t xml:space="preserve">Link do artigo: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http://nucsrl.coe.neu.edu/sites/nucsrl.coe.neu.edu/files/Papers/NVMe%20Camera%20Ready.pdf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Paradnn, benchmark de deep learn com CPU, GPU e TPU</w:t>
        <w:br w:type="textWrapping"/>
        <w:t xml:space="preserve">Link da aplicação: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https://github.com/Emma926/paradnn</w:t>
        </w:r>
      </w:hyperlink>
      <w:r w:rsidDel="00000000" w:rsidR="00000000" w:rsidRPr="00000000">
        <w:rPr>
          <w:rtl w:val="0"/>
        </w:rPr>
        <w:br w:type="textWrapping"/>
        <w:t xml:space="preserve">Link do artigo: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https://arxiv.org/abs/1907.10701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BigDataBench, benchmarks de big data o mais flexível que atende mais tipos de SGBD distribuídos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Links da aplicação: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https://www.benchcouncil.org/BigDataBench/download.html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Link do artigo: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https://arxiv.org/pdf/1802.08254.pdf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benchmark banco de dados sql TPC-C (Transaction Process Council)</w:t>
        <w:br w:type="textWrapping"/>
        <w:t xml:space="preserve">Link da aplicação: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https://www.tpc.org/tpc_documents_current_versions/current_specifications5.asp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Link do artigo: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https://ri.unipac.br/repositorio/wp-content/uploads/2019/07/Erick-Rodrigues-Ferreira.pdf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CPU com benchmark da nasa - NAS Parallel Benchmarks</w:t>
        <w:br w:type="textWrapping"/>
        <w:t xml:space="preserve">Link da aplicação: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https://www.nas.nasa.gov/software/npb.html</w:t>
        </w:r>
      </w:hyperlink>
      <w:r w:rsidDel="00000000" w:rsidR="00000000" w:rsidRPr="00000000">
        <w:rPr>
          <w:rtl w:val="0"/>
        </w:rPr>
        <w:br w:type="textWrapping"/>
        <w:t xml:space="preserve">Link do artigo: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https://www.nas.nasa.gov/assets/pdf/techreports/1994/rnr-94-007.pdf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Benchmark de redes entre containers - Iperf</w:t>
        <w:br w:type="textWrapping"/>
        <w:t xml:space="preserve">Link da aplicação: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https://iperf.fr/iperf-download.php</w:t>
        </w:r>
      </w:hyperlink>
      <w:r w:rsidDel="00000000" w:rsidR="00000000" w:rsidRPr="00000000">
        <w:rPr>
          <w:rtl w:val="0"/>
        </w:rPr>
        <w:br w:type="textWrapping"/>
        <w:t xml:space="preserve">Link do artigo: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ttps://sci-hub.hkvisa.net/https://dl.acm.org/doi/abs/10.1145/3409334.3452040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 bibliográficas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[1] Arango, C.; Dernat, R.; Sanabria, J. Performance evaluation of container-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based virtualization for high performance computing environments. arXiv preprint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arXiv:1709.10140 (2017).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[2] Chung, M. T.; Quang-Hung, N.; Nguyen, M.-T.; Thoai, N. Using docker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 high performance computing applications. In Communications and Electronics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(ICCE), 2016 IEEE Sixth International Conference on (2016), IEEE, pp. 52–57.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[3] Felter, W.; Ferreira, A.; Rajamony, R.; Rubio, J. An updated performance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comparison of virtual machines and linux containers. In Performance Analysis of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Systems and Software (ISPASS), 2015 IEEE International Symposium On (2015),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IEEE, pp. 171–172.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[4] Bhimani, J.; Yang, Z.; Leeser, M.; Mi, N. Accelerating big data applications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using lightweight virtualization framework on enterprise cloud. In High Performance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Extreme Computing Conference (HPEC), 2017 IEEE (2017), IEEE, pp. 1–7.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[5] Younge, A. J.; Pedretti, K.; Grant, R. E.; Brightwell, R. A tale of two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systems: Using containers to deploy hpc applications on supercomputers and clouds.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Cloud Computing Technology and Science (CloudCom), 2017 IEEE International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Conference on (2017), IEEE, pp. 74–81.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[6] Kon, J.; Mizusawa, N.; Umezawa, A.; Yamaguchi, S.; Tao, J. Highly conso-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lidated servers with container-based virtualization. In Big Data (Big Data), 2017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IEEE International Conference on (2017), IEEE, pp. 2472–2479.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[7] DA SILVA, Rodrigo Alves Prado et al. Vetorização e Análise de Algoritmos Paralelos para a Migração Kirchhoff Pré-empilhamento em Tempo. In: Anais do XVIII Simpósio em Sistemas Computacionais de Alto Desempenho. SBC, 2017. p. 304-315.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Mohan Jain, Shashank M. Jain Linux Containers and Virtualization: A Kernel Perspective. Apress, 2020.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Asif Raza Shah, Syed, A R. S. et al, Appl. Sci. 2021, 11(3), 993; https://doi.org/10.3390/app11030993, Academic Editor: Fabrizio Marozzo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Bhimani, JJanki B.  Understanding Performance of I/O Intensive Containerized Applications for NVMe SSDs. nucsrl.coe.neu.edu.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http://nucsrl.coe.neu.edu/sites/nucsrl.coe.neu.edu/files/Papers/NVMe%20Camera%20Ready.pdf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W. Gao, J. Zhan, L. Wang, C. Luo, D. Zheng, F. Tang, B. Xie, C. Zheng, X. Wen, X. He, H. Ye, and R. Ren, “Data motifs: A lens towards fully understanding big data and ai workloads,” Parallel Architectures and Compilation Techniques (PACT), 2018 27th International Conference on, 2018.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Yu (Emma) Wang, Gu-Yeon Wei and David Brook. Benchmarking TPU, GPU, and CPU Platforms for Deep Learning. arxiv.org.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https://arxiv.org/pdf/1907.10701.pdf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Erick Rodrigues Ferreira1 , Sergio M. Trad Junior. Analise de desempenho de Bancos de Dados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https://ri.unipac.br/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https://ri.unipac.br/repositorio/wp-content/uploads/2019/07/Erick-Rodrigues-Ferreira.pdf</w:t>
        </w:r>
      </w:hyperlink>
      <w:r w:rsidDel="00000000" w:rsidR="00000000" w:rsidRPr="00000000">
        <w:rPr>
          <w:rtl w:val="0"/>
        </w:rPr>
        <w:t xml:space="preserve"> 2022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 Bailey E Barszcz J Barton D Browning R Carter L Dagum R Fatoohi S Fineberg P Frederickson T Lasinski R Schreiber H Simon V Venkatakrishnan and S. Weeratunga, RNR Technical Report RNR-94-007, March 1994,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www.nas.nasa.gov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https://www.nas.nasa.gov/assets/pdf/techreports/1994/rnr-94-007.pdf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Kun Suo, Yong Shi, Ahyoung Lee, Sabur Baidya. Characterizing Networking Performance and Interrupt Overhead of Container Overlay Networks. ACM Southeast Conference – ACMSE 2021 – Session 1: Full Papers – ISBN: 978-1-4503-8068-3 Virtual Event, USA, April 15-17, 2021.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https://sci-hub.hkvisa.net/https://dl.acm.org/doi/abs/10.1145/3409334.3452040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Syed Asif Raza Shah 1 , Ahmad Waqas 1 , Moon-Hyun Kim 2 , Tae-Hyung Kim 3 , Heejun Yoon 4 and Seo-Young Noh 2, Benchmarking and Performance Evaluations on Various Configurations of Virtual Machine and Containers for Cloud-Based Scientific Workloads.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https://www.mdpi.com/2076-3417/11/3/993/pdf</w:t>
        </w:r>
      </w:hyperlink>
      <w:r w:rsidDel="00000000" w:rsidR="00000000" w:rsidRPr="00000000">
        <w:rPr>
          <w:rtl w:val="0"/>
        </w:rPr>
        <w:t xml:space="preserve"> acessado em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1907.10701.pdf" TargetMode="External"/><Relationship Id="rId22" Type="http://schemas.openxmlformats.org/officeDocument/2006/relationships/hyperlink" Target="https://ri.unipac.br/repositorio/wp-content/uploads/2019/07/Erick-Rodrigues-Ferreira.pdf" TargetMode="External"/><Relationship Id="rId21" Type="http://schemas.openxmlformats.org/officeDocument/2006/relationships/hyperlink" Target="https://ri.unipac.br/" TargetMode="External"/><Relationship Id="rId24" Type="http://schemas.openxmlformats.org/officeDocument/2006/relationships/hyperlink" Target="https://www.nas.nasa.gov/assets/pdf/techreports/1994/rnr-94-007.pdf" TargetMode="External"/><Relationship Id="rId23" Type="http://schemas.openxmlformats.org/officeDocument/2006/relationships/hyperlink" Target="http://www.nas.nas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ma926/paradnn" TargetMode="External"/><Relationship Id="rId26" Type="http://schemas.openxmlformats.org/officeDocument/2006/relationships/hyperlink" Target="https://www.mdpi.com/2076-3417/11/3/993/pdf" TargetMode="External"/><Relationship Id="rId25" Type="http://schemas.openxmlformats.org/officeDocument/2006/relationships/hyperlink" Target="https://sci-hub.hkvisa.net/https://dl.acm.org/doi/abs/10.1145/3409334.345204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msung.com/br/computers/notebook/notebook-plus2-i5-8gb-256gb-np550xda-kf2br/" TargetMode="External"/><Relationship Id="rId7" Type="http://schemas.openxmlformats.org/officeDocument/2006/relationships/hyperlink" Target="https://github.com/axboe/fio" TargetMode="External"/><Relationship Id="rId8" Type="http://schemas.openxmlformats.org/officeDocument/2006/relationships/hyperlink" Target="http://nucsrl.coe.neu.edu/sites/nucsrl.coe.neu.edu/files/Papers/NVMe%20Camera%20Ready.pdf" TargetMode="External"/><Relationship Id="rId11" Type="http://schemas.openxmlformats.org/officeDocument/2006/relationships/hyperlink" Target="https://www.benchcouncil.org/BigDataBench/download.html" TargetMode="External"/><Relationship Id="rId10" Type="http://schemas.openxmlformats.org/officeDocument/2006/relationships/hyperlink" Target="https://arxiv.org/abs/1907.10701" TargetMode="External"/><Relationship Id="rId13" Type="http://schemas.openxmlformats.org/officeDocument/2006/relationships/hyperlink" Target="https://www.tpc.org/tpc_documents_current_versions/current_specifications5.asp" TargetMode="External"/><Relationship Id="rId12" Type="http://schemas.openxmlformats.org/officeDocument/2006/relationships/hyperlink" Target="https://arxiv.org/pdf/1802.08254.pdf" TargetMode="External"/><Relationship Id="rId15" Type="http://schemas.openxmlformats.org/officeDocument/2006/relationships/hyperlink" Target="https://www.nas.nasa.gov/software/npb.html" TargetMode="External"/><Relationship Id="rId14" Type="http://schemas.openxmlformats.org/officeDocument/2006/relationships/hyperlink" Target="https://ri.unipac.br/repositorio/wp-content/uploads/2019/07/Erick-Rodrigues-Ferreira.pdf" TargetMode="External"/><Relationship Id="rId17" Type="http://schemas.openxmlformats.org/officeDocument/2006/relationships/hyperlink" Target="https://iperf.fr/iperf-download.php" TargetMode="External"/><Relationship Id="rId16" Type="http://schemas.openxmlformats.org/officeDocument/2006/relationships/hyperlink" Target="https://www.nas.nasa.gov/assets/pdf/techreports/1994/rnr-94-007.pdf" TargetMode="External"/><Relationship Id="rId19" Type="http://schemas.openxmlformats.org/officeDocument/2006/relationships/hyperlink" Target="http://nucsrl.coe.neu.edu/sites/nucsrl.coe.neu.edu/files/Papers/NVMe%20Camera%20Ready.pdf" TargetMode="External"/><Relationship Id="rId18" Type="http://schemas.openxmlformats.org/officeDocument/2006/relationships/hyperlink" Target="https://sci-hub.hkvisa.net/https://dl.acm.org/doi/abs/10.1145/3409334.3452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