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96E4" w14:textId="77777777" w:rsidR="00786735" w:rsidRDefault="00786735">
      <w:pPr>
        <w:autoSpaceDE w:val="0"/>
        <w:autoSpaceDN w:val="0"/>
        <w:spacing w:after="0" w:line="166" w:lineRule="exact"/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786735" w14:paraId="28A85DEA" w14:textId="77777777">
        <w:trPr>
          <w:trHeight w:hRule="exact" w:val="1030"/>
        </w:trPr>
        <w:tc>
          <w:tcPr>
            <w:tcW w:w="11070" w:type="dxa"/>
            <w:tcMar>
              <w:left w:w="0" w:type="dxa"/>
              <w:right w:w="0" w:type="dxa"/>
            </w:tcMar>
          </w:tcPr>
          <w:p w14:paraId="2C09934E" w14:textId="77777777" w:rsidR="00786735" w:rsidRDefault="00A13B39">
            <w:pPr>
              <w:autoSpaceDE w:val="0"/>
              <w:autoSpaceDN w:val="0"/>
              <w:spacing w:before="168" w:after="0" w:line="480" w:lineRule="exact"/>
              <w:ind w:left="130" w:right="130"/>
            </w:pPr>
            <w:r>
              <w:rPr>
                <w:rFonts w:ascii="TimesNewRomanPSMT" w:eastAsia="TimesNewRomanPSMT" w:hAnsi="TimesNewRomanPSMT"/>
                <w:color w:val="000000"/>
                <w:sz w:val="36"/>
              </w:rPr>
              <w:t xml:space="preserve">Adult Training &amp; Habilitation Center </w:t>
            </w:r>
            <w:r>
              <w:rPr>
                <w:rFonts w:ascii="TimesNewRomanPSMT" w:eastAsia="TimesNewRomanPSMT" w:hAnsi="TimesNewRomanPSMT"/>
                <w:color w:val="000000"/>
                <w:sz w:val="32"/>
              </w:rPr>
              <w:t xml:space="preserve"> </w:t>
            </w:r>
          </w:p>
          <w:tbl>
            <w:tblPr>
              <w:tblW w:w="0" w:type="auto"/>
              <w:tblInd w:w="7" w:type="dxa"/>
              <w:tblLayout w:type="fixed"/>
              <w:tblLook w:val="04A0" w:firstRow="1" w:lastRow="0" w:firstColumn="1" w:lastColumn="0" w:noHBand="0" w:noVBand="1"/>
            </w:tblPr>
            <w:tblGrid>
              <w:gridCol w:w="11044"/>
            </w:tblGrid>
            <w:tr w:rsidR="00786735" w14:paraId="646C17BB" w14:textId="77777777">
              <w:trPr>
                <w:trHeight w:hRule="exact" w:val="372"/>
              </w:trPr>
              <w:tc>
                <w:tcPr>
                  <w:tcW w:w="11044" w:type="dxa"/>
                  <w:tcBorders>
                    <w:top w:val="single" w:sz="4" w:space="0" w:color="000000"/>
                    <w:left w:val="single" w:sz="3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left w:w="0" w:type="dxa"/>
                    <w:right w:w="0" w:type="dxa"/>
                  </w:tcMar>
                </w:tcPr>
                <w:p w14:paraId="0664CF29" w14:textId="77777777" w:rsidR="00786735" w:rsidRDefault="00A13B39">
                  <w:pPr>
                    <w:autoSpaceDE w:val="0"/>
                    <w:autoSpaceDN w:val="0"/>
                    <w:spacing w:after="0" w:line="386" w:lineRule="exact"/>
                    <w:ind w:left="118" w:right="118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D-VISS -17              POLICY AND PROCEDURE ON SERVICE TERMINATION </w:t>
                  </w:r>
                </w:p>
              </w:tc>
            </w:tr>
          </w:tbl>
          <w:p w14:paraId="21D757D9" w14:textId="77777777" w:rsidR="00786735" w:rsidRDefault="00786735"/>
          <w:p w14:paraId="5D51DD6C" w14:textId="77777777" w:rsidR="00786735" w:rsidRDefault="00786735">
            <w:pPr>
              <w:autoSpaceDE w:val="0"/>
              <w:autoSpaceDN w:val="0"/>
              <w:spacing w:after="0" w:line="14" w:lineRule="exact"/>
            </w:pPr>
          </w:p>
        </w:tc>
      </w:tr>
    </w:tbl>
    <w:p w14:paraId="15D7ECC5" w14:textId="77777777" w:rsidR="00785A2A" w:rsidRDefault="00785A2A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88"/>
        <w:gridCol w:w="3448"/>
        <w:gridCol w:w="6934"/>
      </w:tblGrid>
      <w:tr w:rsidR="00786735" w14:paraId="6AC2E311" w14:textId="77777777">
        <w:trPr>
          <w:trHeight w:hRule="exact" w:val="12716"/>
        </w:trPr>
        <w:tc>
          <w:tcPr>
            <w:tcW w:w="688" w:type="dxa"/>
            <w:tcMar>
              <w:left w:w="0" w:type="dxa"/>
              <w:right w:w="0" w:type="dxa"/>
            </w:tcMar>
          </w:tcPr>
          <w:p w14:paraId="5E27A024" w14:textId="1A2EF0C8" w:rsidR="00786735" w:rsidRDefault="00A13B39">
            <w:pPr>
              <w:autoSpaceDE w:val="0"/>
              <w:autoSpaceDN w:val="0"/>
              <w:spacing w:after="0" w:line="286" w:lineRule="exact"/>
              <w:ind w:left="130" w:right="130"/>
              <w:rPr>
                <w:lang w:eastAsia="zh-CN"/>
              </w:rPr>
            </w:pPr>
            <w:r>
              <w:rPr>
                <w:rFonts w:ascii="TimesNewRomanPSMT" w:eastAsia="TimesNewRomanPSMT" w:hAnsi="TimesNewRomanPSMT"/>
                <w:color w:val="000000"/>
                <w:lang w:eastAsia="zh-CN"/>
              </w:rPr>
              <w:t xml:space="preserve"> </w:t>
            </w:r>
          </w:p>
          <w:p w14:paraId="31375F85" w14:textId="77777777" w:rsidR="00786735" w:rsidRDefault="00A13B39">
            <w:pPr>
              <w:autoSpaceDE w:val="0"/>
              <w:autoSpaceDN w:val="0"/>
              <w:spacing w:after="0" w:line="1752" w:lineRule="exact"/>
              <w:ind w:left="130" w:right="130"/>
            </w:pPr>
            <w:r>
              <w:rPr>
                <w:rFonts w:ascii="TimesNewRomanPSMT" w:eastAsia="TimesNewRomanPSMT" w:hAnsi="TimesNewRomanPSMT"/>
                <w:color w:val="000000"/>
                <w:sz w:val="26"/>
              </w:rPr>
              <w:t>I.</w:t>
            </w:r>
            <w:r>
              <w:rPr>
                <w:rFonts w:ascii="ArialMT" w:eastAsia="ArialMT" w:hAnsi="ArialMT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6"/>
              </w:rPr>
              <w:t>II.</w:t>
            </w:r>
            <w:r>
              <w:rPr>
                <w:rFonts w:ascii="ArialMT" w:eastAsia="ArialMT" w:hAnsi="ArialMT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6"/>
              </w:rPr>
              <w:t>III.</w:t>
            </w:r>
            <w:r>
              <w:rPr>
                <w:rFonts w:ascii="ArialMT" w:eastAsia="ArialMT" w:hAnsi="ArialMT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</w:p>
        </w:tc>
        <w:tc>
          <w:tcPr>
            <w:tcW w:w="10382" w:type="dxa"/>
            <w:gridSpan w:val="2"/>
            <w:tcMar>
              <w:left w:w="0" w:type="dxa"/>
              <w:right w:w="0" w:type="dxa"/>
            </w:tcMar>
          </w:tcPr>
          <w:p w14:paraId="34582E02" w14:textId="77777777" w:rsidR="00786735" w:rsidRDefault="00A13B39">
            <w:pPr>
              <w:autoSpaceDE w:val="0"/>
              <w:autoSpaceDN w:val="0"/>
              <w:spacing w:after="0" w:line="1542" w:lineRule="exact"/>
            </w:pP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6"/>
              </w:rPr>
              <w:t>I.</w:t>
            </w:r>
            <w:r>
              <w:rPr>
                <w:rFonts w:ascii="ArialMT" w:eastAsia="ArialMT" w:hAnsi="ArialMT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6"/>
              </w:rPr>
              <w:t>II.</w:t>
            </w:r>
            <w:r>
              <w:rPr>
                <w:rFonts w:ascii="ArialMT" w:eastAsia="ArialMT" w:hAnsi="ArialMT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6"/>
              </w:rPr>
              <w:t>III.</w:t>
            </w:r>
            <w:r>
              <w:rPr>
                <w:rFonts w:ascii="ArialMT" w:eastAsia="ArialMT" w:hAnsi="ArialMT"/>
                <w:color w:val="000000"/>
                <w:sz w:val="26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6"/>
              <w:gridCol w:w="10400"/>
            </w:tblGrid>
            <w:tr w:rsidR="00786735" w14:paraId="25A01482" w14:textId="77777777" w:rsidTr="00C25363">
              <w:trPr>
                <w:trHeight w:hRule="exact" w:val="12624"/>
              </w:trPr>
              <w:tc>
                <w:tcPr>
                  <w:tcW w:w="196" w:type="dxa"/>
                  <w:tcMar>
                    <w:left w:w="0" w:type="dxa"/>
                    <w:right w:w="0" w:type="dxa"/>
                  </w:tcMar>
                </w:tcPr>
                <w:p w14:paraId="35E9E183" w14:textId="77777777" w:rsidR="00786735" w:rsidRDefault="00786735"/>
              </w:tc>
              <w:tc>
                <w:tcPr>
                  <w:tcW w:w="10400" w:type="dxa"/>
                  <w:tcMar>
                    <w:left w:w="0" w:type="dxa"/>
                    <w:right w:w="0" w:type="dxa"/>
                  </w:tcMar>
                </w:tcPr>
                <w:p w14:paraId="51A58215" w14:textId="77777777" w:rsidR="00785A2A" w:rsidRDefault="00A13B39">
                  <w:pPr>
                    <w:tabs>
                      <w:tab w:val="left" w:pos="604"/>
                      <w:tab w:val="left" w:pos="962"/>
                      <w:tab w:val="left" w:pos="964"/>
                      <w:tab w:val="left" w:pos="1322"/>
                    </w:tabs>
                    <w:autoSpaceDE w:val="0"/>
                    <w:autoSpaceDN w:val="0"/>
                    <w:spacing w:before="320" w:after="0" w:line="272" w:lineRule="exact"/>
                    <w:ind w:left="244" w:right="66"/>
                    <w:rPr>
                      <w:rFonts w:ascii="TimesNewRomanPSMT" w:eastAsia="TimesNewRomanPSMT" w:hAnsi="TimesNewRomanPSMT"/>
                      <w:color w:val="000000"/>
                    </w:rPr>
                  </w:pPr>
                  <w:r>
                    <w:rPr>
                      <w:rFonts w:ascii="TimesNewRomanPSMT" w:eastAsia="TimesNewRomanPSMT" w:hAnsi="TimesNewRomanPSMT"/>
                      <w:color w:val="000000"/>
                      <w:sz w:val="26"/>
                    </w:rPr>
                    <w:t xml:space="preserve">PURPOSE </w:t>
                  </w:r>
                  <w:r>
                    <w:br/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 xml:space="preserve">The purpose of this policy is to establish determination guidelines and notification procedures for service termination. </w:t>
                  </w:r>
                </w:p>
                <w:p w14:paraId="17D87755" w14:textId="77777777" w:rsidR="00785A2A" w:rsidRDefault="00785A2A">
                  <w:pPr>
                    <w:tabs>
                      <w:tab w:val="left" w:pos="604"/>
                      <w:tab w:val="left" w:pos="962"/>
                      <w:tab w:val="left" w:pos="964"/>
                      <w:tab w:val="left" w:pos="1322"/>
                    </w:tabs>
                    <w:autoSpaceDE w:val="0"/>
                    <w:autoSpaceDN w:val="0"/>
                    <w:spacing w:before="320" w:after="0" w:line="272" w:lineRule="exact"/>
                    <w:ind w:left="244" w:right="66"/>
                    <w:rPr>
                      <w:rFonts w:ascii="TimesNewRomanPSMT" w:eastAsia="TimesNewRomanPSMT" w:hAnsi="TimesNewRomanPSMT"/>
                      <w:color w:val="000000"/>
                    </w:rPr>
                  </w:pP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本政策的目的是建立服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止的判定指南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和通知程序。</w:t>
                  </w:r>
                  <w:r w:rsidR="00A13B39">
                    <w:rPr>
                      <w:lang w:eastAsia="zh-CN"/>
                    </w:rPr>
                    <w:br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 xml:space="preserve"> </w:t>
                  </w:r>
                  <w:r w:rsidR="00A13B39">
                    <w:rPr>
                      <w:lang w:eastAsia="zh-CN"/>
                    </w:rPr>
                    <w:br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sz w:val="26"/>
                    </w:rPr>
                    <w:t xml:space="preserve">POLICY </w:t>
                  </w:r>
                  <w:r w:rsidR="00A13B39">
                    <w:br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It is the intent of the company to ensure continuity of care and service coordination between members of the support team in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cluding, but not limited to the person served, the legal representative and/or designated emergency contact, case manager, and other licensed caregivers during situations that may require or result in service termination. The company restricts service term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ination to specific situations according to MN Statutes, section 245D.10, subdivision 3a. </w:t>
                  </w:r>
                </w:p>
                <w:p w14:paraId="582C6FF6" w14:textId="77777777" w:rsidR="00785A2A" w:rsidRDefault="00785A2A">
                  <w:pPr>
                    <w:tabs>
                      <w:tab w:val="left" w:pos="604"/>
                      <w:tab w:val="left" w:pos="962"/>
                      <w:tab w:val="left" w:pos="964"/>
                      <w:tab w:val="left" w:pos="1322"/>
                    </w:tabs>
                    <w:autoSpaceDE w:val="0"/>
                    <w:autoSpaceDN w:val="0"/>
                    <w:spacing w:before="320" w:after="0" w:line="272" w:lineRule="exact"/>
                    <w:ind w:left="244" w:right="66"/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公司的目的是确保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连续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性的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护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理和服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支持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团队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成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员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之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间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的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协调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,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包括但不限于服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的人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,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法定代表人及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/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或指定的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紧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急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联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系人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,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案例管理器中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,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和其他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护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理人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员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在授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权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情况下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,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可能需要在服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止或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结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果。根据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MN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法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规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第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245D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条，公司将服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止限制在特定情况下。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</w:rPr>
                    <w:t>3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</w:rPr>
                    <w:t>分。</w:t>
                  </w:r>
                </w:p>
                <w:p w14:paraId="38C5322D" w14:textId="77777777" w:rsidR="00785A2A" w:rsidRDefault="00A13B39">
                  <w:pPr>
                    <w:tabs>
                      <w:tab w:val="left" w:pos="604"/>
                      <w:tab w:val="left" w:pos="962"/>
                      <w:tab w:val="left" w:pos="964"/>
                      <w:tab w:val="left" w:pos="1322"/>
                    </w:tabs>
                    <w:autoSpaceDE w:val="0"/>
                    <w:autoSpaceDN w:val="0"/>
                    <w:spacing w:before="320" w:after="0" w:line="272" w:lineRule="exact"/>
                    <w:ind w:left="244" w:right="66"/>
                    <w:rPr>
                      <w:rFonts w:ascii="TimesNewRomanPSMT" w:eastAsia="TimesNewRomanPSMT" w:hAnsi="TimesNewRomanPSMT"/>
                      <w:color w:val="000000"/>
                    </w:rPr>
                  </w:pPr>
                  <w:r>
                    <w:br/>
                  </w:r>
                  <w:r>
                    <w:rPr>
                      <w:rFonts w:ascii="TimesNewRomanPSMT" w:eastAsia="TimesNewRomanPSMT" w:hAnsi="TimesNewRomanPSMT"/>
                      <w:color w:val="000000"/>
                      <w:sz w:val="26"/>
                    </w:rPr>
                    <w:t xml:space="preserve">PROCEDURE </w:t>
                  </w:r>
                  <w:r>
                    <w:br/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 xml:space="preserve">The company recognizes that </w:t>
                  </w:r>
                  <w:r>
                    <w:rPr>
                      <w:rFonts w:ascii="TimesNewRomanPS" w:eastAsia="TimesNewRomanPS" w:hAnsi="TimesNewRomanPS"/>
                      <w:i/>
                      <w:color w:val="000000"/>
                    </w:rPr>
                    <w:t>temporary service suspension</w:t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 xml:space="preserve"> and </w:t>
                  </w:r>
                  <w:r>
                    <w:rPr>
                      <w:rFonts w:ascii="TimesNewRomanPS" w:eastAsia="TimesNewRomanPS" w:hAnsi="TimesNewRomanPS"/>
                      <w:i/>
                      <w:color w:val="000000"/>
                    </w:rPr>
                    <w:t>service termination</w:t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 xml:space="preserve"> are two separate procedures. </w:t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 xml:space="preserve">The company must limit temporary service suspension to specific situations that are listed in the </w:t>
                  </w:r>
                  <w:r>
                    <w:rPr>
                      <w:rFonts w:ascii="TimesNewRomanPS" w:eastAsia="TimesNewRomanPS" w:hAnsi="TimesNewRomanPS"/>
                      <w:i/>
                      <w:color w:val="000000"/>
                    </w:rPr>
                    <w:t>Policy and Procedure on Temporary Service Suspension</w:t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>.  A temporary service suspension may lead to or include service termination or the company may do a tempo</w:t>
                  </w:r>
                  <w:r>
                    <w:rPr>
                      <w:rFonts w:ascii="TimesNewRomanPSMT" w:eastAsia="TimesNewRomanPSMT" w:hAnsi="TimesNewRomanPSMT"/>
                      <w:color w:val="000000"/>
                    </w:rPr>
                    <w:t xml:space="preserve">rary service suspension by itself.  The company must limit service termination to specific situations that are listed below.  A service termination may include a temporary service suspension or the company can do a service termination by itself. </w:t>
                  </w:r>
                </w:p>
                <w:p w14:paraId="4D1F4409" w14:textId="77777777" w:rsidR="00785A2A" w:rsidRDefault="00785A2A">
                  <w:pPr>
                    <w:tabs>
                      <w:tab w:val="left" w:pos="604"/>
                      <w:tab w:val="left" w:pos="962"/>
                      <w:tab w:val="left" w:pos="964"/>
                      <w:tab w:val="left" w:pos="1322"/>
                    </w:tabs>
                    <w:autoSpaceDE w:val="0"/>
                    <w:autoSpaceDN w:val="0"/>
                    <w:spacing w:before="320" w:after="0" w:line="272" w:lineRule="exact"/>
                    <w:ind w:left="244" w:right="66"/>
                  </w:pPr>
                </w:p>
                <w:p w14:paraId="687D2FCF" w14:textId="44850C5F" w:rsidR="00786735" w:rsidRDefault="00785A2A">
                  <w:pPr>
                    <w:tabs>
                      <w:tab w:val="left" w:pos="604"/>
                      <w:tab w:val="left" w:pos="962"/>
                      <w:tab w:val="left" w:pos="964"/>
                      <w:tab w:val="left" w:pos="1322"/>
                    </w:tabs>
                    <w:autoSpaceDE w:val="0"/>
                    <w:autoSpaceDN w:val="0"/>
                    <w:spacing w:before="320" w:after="0" w:line="272" w:lineRule="exact"/>
                    <w:ind w:left="244" w:right="66"/>
                  </w:pP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本公司承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认临时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务暂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停和服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止是两个独立的程序。本公司必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须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将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暂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停服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限制在《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暂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停服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政策和程序》中所列的特定情况。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临时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务暂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停可能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导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致或包括服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止，或本公司可能自行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进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行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临时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务暂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停。本公司必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须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将服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止限制在下列特定情况下。服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止可能包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括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临时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务暂</w:t>
                  </w:r>
                  <w:r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停或公司可以做服</w:t>
                  </w:r>
                  <w:r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务终</w:t>
                  </w:r>
                  <w:r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</w:t>
                  </w:r>
                  <w:r w:rsidR="00A13B39">
                    <w:rPr>
                      <w:lang w:eastAsia="zh-CN"/>
                    </w:rPr>
                    <w:br/>
                  </w:r>
                  <w:r w:rsidR="00A13B39">
                    <w:rPr>
                      <w:lang w:eastAsia="zh-CN"/>
                    </w:rPr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 xml:space="preserve"> </w:t>
                  </w:r>
                  <w:r w:rsidR="00A13B39">
                    <w:rPr>
                      <w:lang w:eastAsia="zh-CN"/>
                    </w:rPr>
                    <w:br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>A.</w:t>
                  </w:r>
                  <w:r w:rsidR="00A13B39">
                    <w:rPr>
                      <w:rFonts w:ascii="ArialMT" w:eastAsia="ArialMT" w:hAnsi="ArialMT"/>
                      <w:color w:val="000000"/>
                      <w:lang w:eastAsia="zh-CN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>The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 xml:space="preserve"> company must permit each person served to remain in the program and must not terminate services </w:t>
                  </w:r>
                  <w:r w:rsidR="00A13B39">
                    <w:rPr>
                      <w:lang w:eastAsia="zh-CN"/>
                    </w:rPr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 xml:space="preserve">unless: </w:t>
                  </w:r>
                  <w:r w:rsidR="00C25363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 xml:space="preserve"> </w:t>
                  </w:r>
                  <w:r w:rsidR="00C25363"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公司必</w:t>
                  </w:r>
                  <w:r w:rsidR="00C25363"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须</w:t>
                  </w:r>
                  <w:r w:rsidR="00C25363"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允</w:t>
                  </w:r>
                  <w:r w:rsidR="00C25363"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许</w:t>
                  </w:r>
                  <w:r w:rsidR="00C25363"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被服</w:t>
                  </w:r>
                  <w:r w:rsidR="00C25363"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</w:t>
                  </w:r>
                  <w:r w:rsidR="00C25363"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的每个人留在</w:t>
                  </w:r>
                  <w:r w:rsidR="00C25363"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计</w:t>
                  </w:r>
                  <w:r w:rsidR="00C25363"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划中，并且不得</w:t>
                  </w:r>
                  <w:r w:rsidR="00C25363"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终</w:t>
                  </w:r>
                  <w:r w:rsidR="00C25363"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止服</w:t>
                  </w:r>
                  <w:r w:rsidR="00C25363">
                    <w:rPr>
                      <w:rFonts w:ascii="微软雅黑" w:eastAsia="微软雅黑" w:hAnsi="微软雅黑" w:cs="微软雅黑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务</w:t>
                  </w:r>
                  <w:r w:rsidR="00C25363">
                    <w:rPr>
                      <w:rFonts w:ascii="MS Mincho" w:eastAsia="MS Mincho" w:hAnsi="MS Mincho" w:cs="MS Mincho" w:hint="eastAsia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，除非</w:t>
                  </w:r>
                  <w:r w:rsidR="00C25363">
                    <w:rPr>
                      <w:rFonts w:ascii="Arial" w:hAnsi="Arial" w:cs="Arial"/>
                      <w:color w:val="2E3033"/>
                      <w:sz w:val="21"/>
                      <w:szCs w:val="21"/>
                      <w:shd w:val="clear" w:color="auto" w:fill="FFFFFF"/>
                      <w:lang w:eastAsia="zh-CN"/>
                    </w:rPr>
                    <w:t>:</w:t>
                  </w:r>
                  <w:r w:rsidR="00A13B39">
                    <w:rPr>
                      <w:lang w:eastAsia="zh-CN"/>
                    </w:rPr>
                    <w:br/>
                  </w:r>
                  <w:r w:rsidR="00A13B39">
                    <w:rPr>
                      <w:lang w:eastAsia="zh-CN"/>
                    </w:rPr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  <w:lang w:eastAsia="zh-CN"/>
                    </w:rPr>
                    <w:t>1.</w:t>
                  </w:r>
                  <w:r w:rsidR="00A13B39">
                    <w:rPr>
                      <w:rFonts w:ascii="ArialMT" w:eastAsia="ArialMT" w:hAnsi="ArialMT"/>
                      <w:color w:val="000000"/>
                      <w:lang w:eastAsia="zh-CN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termination is necessary for the person’s welfare and the person’s needs cannot be met in the facility; </w:t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2.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The safety of the person or other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s in the program is endangered and positive support strategies were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attempted and have not achieved and effectively maintained safety for the person or others;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3.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health of the person or others in the program would otherwise be endangered;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4.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Th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e program has not been paid for services;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5.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program ceases to operate; or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6.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person has been terminated by the lead agency from waiver eligibility. </w:t>
                  </w:r>
                  <w:r w:rsidR="00A13B39">
                    <w:br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B.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Prior to giving notice of service termination, the company must document actions taken to m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inimize or </w:t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eliminate the need for termination. Action taken by the company  must include, at a minimum: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1.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Consultation with the person’s expanded/support team to identify and resolve issues leading to issuance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of the termination notice; and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2.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A r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equest to the case manager for intervention services as identified in section 245D.03, subdivision 1,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paragraph (c), clause (1), or other professional consultation or intervention services to support the person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in the program. This requirement does n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ot apply to notices of service termination issued due to the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program not being paid for services.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3.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If, based on the best interests of the person, the circumstances at the time of the termination notice were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such that the company was unable to tak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e the action specified above, the company must document the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specific circumstances and the reason for being unable to do so. </w:t>
                  </w:r>
                  <w:r w:rsidR="00A13B39">
                    <w:br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C.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notice of service termination must meet the following requirements: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1.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The company must notify the person or the perso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n’s legal representative and the case manager in writing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of the intended services termination; and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2.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notice must include: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a.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The reason for the action; </w:t>
                  </w:r>
                  <w:r w:rsidR="00A13B39">
                    <w:br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>b.</w:t>
                  </w:r>
                  <w:r w:rsidR="00A13B39">
                    <w:rPr>
                      <w:rFonts w:ascii="ArialMT" w:eastAsia="ArialMT" w:hAnsi="ArialMT"/>
                      <w:color w:val="000000"/>
                    </w:rPr>
                    <w:t xml:space="preserve"> </w:t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Except for a service termination when the program ceases to operate, a summary of actions taken to </w:t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tab/>
                  </w:r>
                  <w:r w:rsidR="00A13B39">
                    <w:rPr>
                      <w:rFonts w:ascii="TimesNewRomanPSMT" w:eastAsia="TimesNewRomanPSMT" w:hAnsi="TimesNewRomanPSMT"/>
                      <w:color w:val="000000"/>
                    </w:rPr>
                    <w:t xml:space="preserve">minimize or eliminate the need for service termination or temporary service suspension as required </w:t>
                  </w:r>
                </w:p>
              </w:tc>
            </w:tr>
          </w:tbl>
          <w:p w14:paraId="093F7FD2" w14:textId="77777777" w:rsidR="00786735" w:rsidRDefault="00786735"/>
          <w:p w14:paraId="64173E6E" w14:textId="77777777" w:rsidR="00786735" w:rsidRDefault="00786735">
            <w:pPr>
              <w:autoSpaceDE w:val="0"/>
              <w:autoSpaceDN w:val="0"/>
              <w:spacing w:after="0" w:line="14" w:lineRule="exact"/>
            </w:pPr>
          </w:p>
        </w:tc>
      </w:tr>
      <w:tr w:rsidR="00786735" w14:paraId="4CBA993A" w14:textId="77777777">
        <w:trPr>
          <w:trHeight w:hRule="exact" w:val="388"/>
        </w:trPr>
        <w:tc>
          <w:tcPr>
            <w:tcW w:w="11070" w:type="dxa"/>
            <w:gridSpan w:val="3"/>
            <w:tcMar>
              <w:left w:w="0" w:type="dxa"/>
              <w:right w:w="0" w:type="dxa"/>
            </w:tcMar>
          </w:tcPr>
          <w:p w14:paraId="518DEC99" w14:textId="77777777" w:rsidR="00786735" w:rsidRDefault="00A13B39">
            <w:pPr>
              <w:autoSpaceDE w:val="0"/>
              <w:autoSpaceDN w:val="0"/>
              <w:spacing w:before="152" w:after="0" w:line="234" w:lineRule="exact"/>
              <w:jc w:val="center"/>
            </w:pPr>
            <w:r>
              <w:rPr>
                <w:rFonts w:ascii="Cambria" w:eastAsia="Cambria" w:hAnsi="Cambria"/>
                <w:b/>
                <w:color w:val="000000"/>
                <w:sz w:val="20"/>
              </w:rPr>
              <w:t xml:space="preserve">D-VISS – 17      Termination                                                   New   8/15                                                                                                     Page 1 </w:t>
            </w:r>
          </w:p>
        </w:tc>
      </w:tr>
      <w:tr w:rsidR="00786735" w14:paraId="2E4157B7" w14:textId="77777777">
        <w:trPr>
          <w:trHeight w:hRule="exact" w:val="666"/>
        </w:trPr>
        <w:tc>
          <w:tcPr>
            <w:tcW w:w="4136" w:type="dxa"/>
            <w:gridSpan w:val="2"/>
            <w:tcMar>
              <w:left w:w="0" w:type="dxa"/>
              <w:right w:w="0" w:type="dxa"/>
            </w:tcMar>
          </w:tcPr>
          <w:p w14:paraId="2D951246" w14:textId="77777777" w:rsidR="00786735" w:rsidRDefault="00A13B39">
            <w:pPr>
              <w:autoSpaceDE w:val="0"/>
              <w:autoSpaceDN w:val="0"/>
              <w:spacing w:after="0" w:line="232" w:lineRule="exact"/>
              <w:ind w:left="130" w:right="130"/>
            </w:pPr>
            <w:r>
              <w:rPr>
                <w:rFonts w:ascii="Cambria" w:eastAsia="Cambria" w:hAnsi="Cambria"/>
                <w:color w:val="000000"/>
                <w:sz w:val="20"/>
              </w:rPr>
              <w:t xml:space="preserve">Annual and Admit &gt;new 245D </w:t>
            </w:r>
          </w:p>
        </w:tc>
        <w:tc>
          <w:tcPr>
            <w:tcW w:w="6934" w:type="dxa"/>
            <w:tcMar>
              <w:left w:w="0" w:type="dxa"/>
              <w:right w:w="0" w:type="dxa"/>
            </w:tcMar>
          </w:tcPr>
          <w:p w14:paraId="4AEAD6DA" w14:textId="77777777" w:rsidR="00786735" w:rsidRDefault="00A13B39">
            <w:pPr>
              <w:autoSpaceDE w:val="0"/>
              <w:autoSpaceDN w:val="0"/>
              <w:spacing w:before="208" w:after="0" w:line="306" w:lineRule="exact"/>
              <w:ind w:left="1394" w:right="1394"/>
            </w:pPr>
            <w:r>
              <w:rPr>
                <w:rFonts w:ascii="TimesNewRomanPS" w:eastAsia="TimesNewRomanPS" w:hAnsi="TimesNewRomanPS"/>
                <w:b/>
                <w:color w:val="000000"/>
              </w:rPr>
              <w:t xml:space="preserve"> </w:t>
            </w:r>
          </w:p>
        </w:tc>
      </w:tr>
    </w:tbl>
    <w:p w14:paraId="1BCEDE40" w14:textId="77777777" w:rsidR="00786735" w:rsidRDefault="00786735">
      <w:pPr>
        <w:autoSpaceDE w:val="0"/>
        <w:autoSpaceDN w:val="0"/>
        <w:spacing w:after="0" w:line="14" w:lineRule="exact"/>
      </w:pPr>
    </w:p>
    <w:p w14:paraId="6A30FDC3" w14:textId="77777777" w:rsidR="00786735" w:rsidRDefault="00786735">
      <w:pPr>
        <w:sectPr w:rsidR="00786735">
          <w:pgSz w:w="12240" w:h="15840"/>
          <w:pgMar w:top="334" w:right="564" w:bottom="346" w:left="584" w:header="720" w:footer="720" w:gutter="0"/>
          <w:cols w:space="720"/>
          <w:docGrid w:linePitch="360"/>
        </w:sectPr>
      </w:pPr>
    </w:p>
    <w:p w14:paraId="74840ABD" w14:textId="77777777" w:rsidR="00786735" w:rsidRDefault="00786735">
      <w:pPr>
        <w:autoSpaceDE w:val="0"/>
        <w:autoSpaceDN w:val="0"/>
        <w:spacing w:after="0" w:line="166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34"/>
        <w:gridCol w:w="6822"/>
      </w:tblGrid>
      <w:tr w:rsidR="00786735" w14:paraId="045FC298" w14:textId="77777777">
        <w:trPr>
          <w:trHeight w:hRule="exact" w:val="13818"/>
        </w:trPr>
        <w:tc>
          <w:tcPr>
            <w:tcW w:w="10856" w:type="dxa"/>
            <w:gridSpan w:val="2"/>
            <w:tcBorders>
              <w:bottom w:val="single" w:sz="24" w:space="0" w:color="612322"/>
            </w:tcBorders>
            <w:tcMar>
              <w:left w:w="0" w:type="dxa"/>
              <w:right w:w="0" w:type="dxa"/>
            </w:tcMar>
          </w:tcPr>
          <w:p w14:paraId="089CD9E4" w14:textId="77777777" w:rsidR="00786735" w:rsidRDefault="00A13B39">
            <w:pPr>
              <w:tabs>
                <w:tab w:val="left" w:pos="748"/>
                <w:tab w:val="left" w:pos="1108"/>
                <w:tab w:val="left" w:pos="1468"/>
                <w:tab w:val="left" w:pos="1828"/>
              </w:tabs>
              <w:autoSpaceDE w:val="0"/>
              <w:autoSpaceDN w:val="0"/>
              <w:spacing w:before="394" w:after="0" w:line="254" w:lineRule="exact"/>
              <w:ind w:left="28" w:right="28"/>
            </w:pPr>
            <w:r>
              <w:rPr>
                <w:rFonts w:ascii="TimesNewRomanPSMT" w:eastAsia="TimesNewRomanPSMT" w:hAnsi="TimesNewRomanPSMT"/>
                <w:color w:val="000000"/>
                <w:sz w:val="36"/>
              </w:rPr>
              <w:t xml:space="preserve">Adult Training &amp; Habilitation Center </w:t>
            </w:r>
            <w:r>
              <w:rPr>
                <w:rFonts w:ascii="TimesNewRomanPSMT" w:eastAsia="TimesNewRomanPSMT" w:hAnsi="TimesNewRomanPSMT"/>
                <w:color w:val="000000"/>
                <w:sz w:val="32"/>
              </w:rPr>
              <w:t xml:space="preserve">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under section 245D.10, subdivision 3a, paragraph (c), and why these measures failed to prevent the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termination or suspension;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c.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The person’s right to appeal the termination of services under MN Statutes,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section 256.045,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subdivision 3, paragraph (a); and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d.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The person’s right to seek a temporary order staying the termination of services according to the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procedures in MN Statutes, section 256.045, subdivision 4a or 6, paragraph (c).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D.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>Notic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e of the proposed termination of service, including those situations that began with a temporary service </w:t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suspension, must be given: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1.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At least 60 days prior to termination when the company is providing intensive supports and services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identified in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section 245D.03, subdivision 1, paragraph (c).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2.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At least 30 days prior to termination for all other services licensed under Chapter 245D.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3.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This termination notice may be given in conjunction with a notice of temporary services suspension. </w:t>
            </w:r>
            <w:r>
              <w:br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E.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During the service termination notice period, the company must: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1.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>Work with the expanded/support team to develop reasonable alternative to prote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ct the person and others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and to support continuity of care;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2.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Provide information requested by the person or case manager; and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3.</w:t>
            </w:r>
            <w:r>
              <w:rPr>
                <w:rFonts w:ascii="ArialMT" w:eastAsia="ArialMT" w:hAnsi="ArialMT"/>
                <w:color w:val="000000"/>
              </w:rPr>
              <w:t xml:space="preserve"> 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Maintain information about the service termination, including the written notice of intended service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MT" w:eastAsia="TimesNewRomanPSMT" w:hAnsi="TimesNewRomanPSMT"/>
                <w:color w:val="000000"/>
              </w:rPr>
              <w:t>termination,</w:t>
            </w:r>
            <w:r>
              <w:rPr>
                <w:rFonts w:ascii="TimesNewRomanPSMT" w:eastAsia="TimesNewRomanPSMT" w:hAnsi="TimesNewRomanPSMT"/>
                <w:color w:val="000000"/>
              </w:rPr>
              <w:t xml:space="preserve"> in the service recipient record. </w:t>
            </w:r>
            <w:r>
              <w:br/>
            </w:r>
            <w:r>
              <w:tab/>
            </w:r>
            <w:r>
              <w:rPr>
                <w:rFonts w:ascii="TimesNewRomanPS" w:eastAsia="TimesNewRomanPS" w:hAnsi="TimesNewRomanPS"/>
                <w:b/>
                <w:color w:val="000000"/>
              </w:rPr>
              <w:t xml:space="preserve"> </w:t>
            </w:r>
          </w:p>
        </w:tc>
      </w:tr>
      <w:tr w:rsidR="00786735" w14:paraId="19A74CD0" w14:textId="77777777">
        <w:trPr>
          <w:trHeight w:hRule="exact" w:val="316"/>
        </w:trPr>
        <w:tc>
          <w:tcPr>
            <w:tcW w:w="10856" w:type="dxa"/>
            <w:gridSpan w:val="2"/>
            <w:tcBorders>
              <w:top w:val="single" w:sz="24" w:space="0" w:color="612322"/>
            </w:tcBorders>
            <w:tcMar>
              <w:left w:w="0" w:type="dxa"/>
              <w:right w:w="0" w:type="dxa"/>
            </w:tcMar>
          </w:tcPr>
          <w:p w14:paraId="68B8EEA0" w14:textId="77777777" w:rsidR="00786735" w:rsidRDefault="00A13B39">
            <w:pPr>
              <w:autoSpaceDE w:val="0"/>
              <w:autoSpaceDN w:val="0"/>
              <w:spacing w:before="50" w:after="0" w:line="234" w:lineRule="exact"/>
              <w:jc w:val="center"/>
            </w:pPr>
            <w:r>
              <w:rPr>
                <w:rFonts w:ascii="Cambria" w:eastAsia="Cambria" w:hAnsi="Cambria"/>
                <w:b/>
                <w:color w:val="000000"/>
                <w:sz w:val="20"/>
              </w:rPr>
              <w:t xml:space="preserve">D-VISS – 17      Termination                                                   New   8/15                                                                                                     Page 2 </w:t>
            </w:r>
          </w:p>
        </w:tc>
      </w:tr>
      <w:tr w:rsidR="00786735" w14:paraId="10238D22" w14:textId="77777777">
        <w:trPr>
          <w:trHeight w:hRule="exact" w:val="666"/>
        </w:trPr>
        <w:tc>
          <w:tcPr>
            <w:tcW w:w="4034" w:type="dxa"/>
            <w:tcMar>
              <w:left w:w="0" w:type="dxa"/>
              <w:right w:w="0" w:type="dxa"/>
            </w:tcMar>
          </w:tcPr>
          <w:p w14:paraId="423A957D" w14:textId="77777777" w:rsidR="00786735" w:rsidRDefault="00A13B39">
            <w:pPr>
              <w:autoSpaceDE w:val="0"/>
              <w:autoSpaceDN w:val="0"/>
              <w:spacing w:after="0" w:line="232" w:lineRule="exact"/>
              <w:ind w:left="28" w:right="28"/>
            </w:pPr>
            <w:r>
              <w:rPr>
                <w:rFonts w:ascii="Cambria" w:eastAsia="Cambria" w:hAnsi="Cambria"/>
                <w:color w:val="000000"/>
                <w:sz w:val="20"/>
              </w:rPr>
              <w:t xml:space="preserve">Annual and Admit &gt;new 245D </w:t>
            </w:r>
          </w:p>
        </w:tc>
        <w:tc>
          <w:tcPr>
            <w:tcW w:w="6822" w:type="dxa"/>
            <w:tcMar>
              <w:left w:w="0" w:type="dxa"/>
              <w:right w:w="0" w:type="dxa"/>
            </w:tcMar>
          </w:tcPr>
          <w:p w14:paraId="5C85B2A7" w14:textId="77777777" w:rsidR="00786735" w:rsidRDefault="00A13B39">
            <w:pPr>
              <w:autoSpaceDE w:val="0"/>
              <w:autoSpaceDN w:val="0"/>
              <w:spacing w:before="208" w:after="0" w:line="306" w:lineRule="exact"/>
              <w:ind w:left="1394" w:right="1394"/>
            </w:pPr>
            <w:r>
              <w:rPr>
                <w:rFonts w:ascii="TimesNewRomanPS" w:eastAsia="TimesNewRomanPS" w:hAnsi="TimesNewRomanPS"/>
                <w:b/>
                <w:color w:val="000000"/>
              </w:rPr>
              <w:t xml:space="preserve"> </w:t>
            </w:r>
          </w:p>
        </w:tc>
      </w:tr>
    </w:tbl>
    <w:p w14:paraId="3EEA0A5F" w14:textId="77777777" w:rsidR="00786735" w:rsidRDefault="00786735">
      <w:pPr>
        <w:autoSpaceDE w:val="0"/>
        <w:autoSpaceDN w:val="0"/>
        <w:spacing w:after="0" w:line="14" w:lineRule="exact"/>
      </w:pPr>
    </w:p>
    <w:sectPr w:rsidR="00786735" w:rsidSect="00034616">
      <w:pgSz w:w="12240" w:h="15840"/>
      <w:pgMar w:top="334" w:right="672" w:bottom="346" w:left="6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998B" w14:textId="77777777" w:rsidR="00A13B39" w:rsidRDefault="00A13B39" w:rsidP="00785A2A">
      <w:pPr>
        <w:spacing w:after="0" w:line="240" w:lineRule="auto"/>
      </w:pPr>
      <w:r>
        <w:separator/>
      </w:r>
    </w:p>
  </w:endnote>
  <w:endnote w:type="continuationSeparator" w:id="0">
    <w:p w14:paraId="6E49D41E" w14:textId="77777777" w:rsidR="00A13B39" w:rsidRDefault="00A13B39" w:rsidP="0078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2AAF" w14:textId="77777777" w:rsidR="00A13B39" w:rsidRDefault="00A13B39" w:rsidP="00785A2A">
      <w:pPr>
        <w:spacing w:after="0" w:line="240" w:lineRule="auto"/>
      </w:pPr>
      <w:r>
        <w:separator/>
      </w:r>
    </w:p>
  </w:footnote>
  <w:footnote w:type="continuationSeparator" w:id="0">
    <w:p w14:paraId="39ABFEF0" w14:textId="77777777" w:rsidR="00A13B39" w:rsidRDefault="00A13B39" w:rsidP="00785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A2A"/>
    <w:rsid w:val="00786735"/>
    <w:rsid w:val="00A13B39"/>
    <w:rsid w:val="00AA1D8D"/>
    <w:rsid w:val="00B47730"/>
    <w:rsid w:val="00C253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B842B1"/>
  <w14:defaultImageDpi w14:val="300"/>
  <w15:docId w15:val="{4543174E-0FE5-4B07-8913-7DE2337A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昭 韦</cp:lastModifiedBy>
  <cp:revision>3</cp:revision>
  <dcterms:created xsi:type="dcterms:W3CDTF">2013-12-23T23:15:00Z</dcterms:created>
  <dcterms:modified xsi:type="dcterms:W3CDTF">2021-04-20T03:20:00Z</dcterms:modified>
  <cp:category/>
</cp:coreProperties>
</file>