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60"/>
        <w:jc w:val="center"/>
      </w:pPr>
      <w:r>
        <w:rPr>
          <w:rFonts w:ascii="Arial" w:cs="Arial" w:eastAsia="Arial" w:hAnsi="Arial"/>
          <w:color w:val="3BE494"/>
          <w:sz w:val="28"/>
          <w:szCs w:val="28"/>
        </w:rPr>
        <w:t xml:space="preserve">GeoSoft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6352B"/>
          <w:sz w:val="56"/>
          <w:szCs w:val="56"/>
        </w:rPr>
        <w:t xml:space="preserve">AssetView Product Bible</w:t>
      </w:r>
    </w:p>
    <w:p>
      <w:pPr>
        <w:spacing w:after="80"/>
        <w:jc w:val="center"/>
      </w:pPr>
      <w:r>
        <w:rPr>
          <w:rFonts w:ascii="Arial" w:cs="Arial" w:eastAsia="Arial" w:hAnsi="Arial"/>
          <w:color w:val="171744"/>
          <w:sz w:val="26"/>
          <w:szCs w:val="26"/>
        </w:rPr>
        <w:t xml:space="preserve">Complete Handoff Document for Design &amp; Development Teams</w:t>
      </w:r>
    </w:p>
    <w:p>
      <w:pPr>
        <w:pBdr>
          <w:bottom w:val="single" w:color="3BE494" w:sz="4" w:space="1"/>
        </w:pBdr>
        <w:spacing w:after="3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Phase 1 POC Complete — All Decisions, Data Models, UI Patterns, and Interaction Specifications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This document enables 100% replication by any AI model or design team</w:t>
      </w:r>
    </w:p>
    <w:p>
      <w:pPr>
        <w:spacing w:before="16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Version 1.0 — March 2026 —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Product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AssetView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Brand</w:t>
            </w:r>
          </w:p>
        </w:tc>
        <w:tc>
          <w:tcPr>
            <w:tcW w:type="dxa" w:w="6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GeoSoft®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Intelligent Asset Environment (IAE)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</w:t>
            </w:r>
          </w:p>
        </w:tc>
        <w:tc>
          <w:tcPr>
            <w:tcW w:type="dxa" w:w="6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Oil &amp; Gas — Upstream / Offshore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Code</w:t>
            </w:r>
          </w:p>
        </w:tc>
        <w:tc>
          <w:tcPr>
            <w:tcW w:type="dxa" w:w="6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AD219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6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ADMA-OPCO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P&amp;ID</w:t>
            </w:r>
          </w:p>
        </w:tc>
        <w:tc>
          <w:tcPr>
            <w:tcW w:type="dxa" w:w="6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AD219-490-D-15101 (NPCC Engineering, As-Built Rev 4)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Platform</w:t>
            </w:r>
          </w:p>
        </w:tc>
        <w:tc>
          <w:tcPr>
            <w:tcW w:type="dxa" w:w="6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WHT-5 Wellhead Platform, Super Complex, Umm Shaif Field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Tool Technology</w:t>
            </w:r>
          </w:p>
        </w:tc>
        <w:tc>
          <w:tcPr>
            <w:tcW w:type="dxa" w:w="6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Pano2VR via React Virtual Tour Application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Backend</w:t>
            </w:r>
          </w:p>
        </w:tc>
        <w:tc>
          <w:tcPr>
            <w:tcW w:type="dxa" w:w="6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Opus 4.6 with Function Calling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6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only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Status</w:t>
            </w:r>
          </w:p>
        </w:tc>
        <w:tc>
          <w:tcPr>
            <w:tcW w:type="dxa" w:w="6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7/7 deliverables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Design System Specification</w:t>
      </w:r>
    </w:p>
    <w:p>
      <w:pPr>
        <w:pStyle w:val="Heading2"/>
      </w:pPr>
      <w: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4360"/>
      </w:tblGrid>
      <w:tr>
        <w:tc>
          <w:tcPr>
            <w:tcW w:type="dxa" w:w="2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4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Green</w:t>
            </w:r>
          </w:p>
        </w:tc>
        <w:tc>
          <w:tcPr>
            <w:tcW w:type="dxa" w:w="14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#16352B</w:t>
            </w:r>
          </w:p>
        </w:tc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22, 53, 43</w:t>
            </w:r>
          </w:p>
        </w:tc>
        <w:tc>
          <w:tcPr>
            <w:tcW w:type="dxa" w:w="4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background, dark panels (30%)</w:t>
            </w:r>
          </w:p>
        </w:tc>
      </w:tr>
      <w:tr>
        <w:tc>
          <w:tcPr>
            <w:tcW w:type="dxa" w:w="2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Cadet</w:t>
            </w:r>
          </w:p>
        </w:tc>
        <w:tc>
          <w:tcPr>
            <w:tcW w:type="dxa" w:w="14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#171744</w:t>
            </w:r>
          </w:p>
        </w:tc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23, 23, 68</w:t>
            </w:r>
          </w:p>
        </w:tc>
        <w:tc>
          <w:tcPr>
            <w:tcW w:type="dxa" w:w="4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background, headers (20%)</w:t>
            </w:r>
          </w:p>
        </w:tc>
      </w:tr>
      <w:tr>
        <w:tc>
          <w:tcPr>
            <w:tcW w:type="dxa" w:w="2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Aquamarine</w:t>
            </w:r>
          </w:p>
        </w:tc>
        <w:tc>
          <w:tcPr>
            <w:tcW w:type="dxa" w:w="14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#3BE494</w:t>
            </w:r>
          </w:p>
        </w:tc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59, 228, 148</w:t>
            </w:r>
          </w:p>
        </w:tc>
        <w:tc>
          <w:tcPr>
            <w:tcW w:type="dxa" w:w="4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Accent, interactive elements, buttons (15%)</w:t>
            </w:r>
          </w:p>
        </w:tc>
      </w:tr>
      <w:tr>
        <w:tc>
          <w:tcPr>
            <w:tcW w:type="dxa" w:w="2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Ultramarine</w:t>
            </w:r>
          </w:p>
        </w:tc>
        <w:tc>
          <w:tcPr>
            <w:tcW w:type="dxa" w:w="14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#2D33E0</w:t>
            </w:r>
          </w:p>
        </w:tc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45, 51, 244</w:t>
            </w:r>
          </w:p>
        </w:tc>
        <w:tc>
          <w:tcPr>
            <w:tcW w:type="dxa" w:w="4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accent, notifications (10%)</w:t>
            </w:r>
          </w:p>
        </w:tc>
      </w:tr>
      <w:tr>
        <w:tc>
          <w:tcPr>
            <w:tcW w:type="dxa" w:w="2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Platinum</w:t>
            </w:r>
          </w:p>
        </w:tc>
        <w:tc>
          <w:tcPr>
            <w:tcW w:type="dxa" w:w="14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#D3DFE2</w:t>
            </w:r>
          </w:p>
        </w:tc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211, 223, 226</w:t>
            </w:r>
          </w:p>
        </w:tc>
        <w:tc>
          <w:tcPr>
            <w:tcW w:type="dxa" w:w="4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on dark backgrounds, borders (5%)</w:t>
            </w:r>
          </w:p>
        </w:tc>
      </w:tr>
      <w:tr>
        <w:tc>
          <w:tcPr>
            <w:tcW w:type="dxa" w:w="2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Seasalt</w:t>
            </w:r>
          </w:p>
        </w:tc>
        <w:tc>
          <w:tcPr>
            <w:tcW w:type="dxa" w:w="14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#F5F7F7</w:t>
            </w:r>
          </w:p>
        </w:tc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245, 247, 247</w:t>
            </w:r>
          </w:p>
        </w:tc>
        <w:tc>
          <w:tcPr>
            <w:tcW w:type="dxa" w:w="4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surface backgrounds</w:t>
            </w:r>
          </w:p>
        </w:tc>
      </w:tr>
      <w:tr>
        <w:tc>
          <w:tcPr>
            <w:tcW w:type="dxa" w:w="2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</w:t>
            </w:r>
          </w:p>
        </w:tc>
        <w:tc>
          <w:tcPr>
            <w:tcW w:type="dxa" w:w="14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#191C1C</w:t>
            </w:r>
          </w:p>
        </w:tc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25, 28, 28</w:t>
            </w:r>
          </w:p>
        </w:tc>
        <w:tc>
          <w:tcPr>
            <w:tcW w:type="dxa" w:w="4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on light backgrounds</w:t>
            </w:r>
          </w:p>
        </w:tc>
      </w:tr>
      <w:tr>
        <w:tc>
          <w:tcPr>
            <w:tcW w:type="dxa" w:w="2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255, 255, 255</w:t>
            </w:r>
          </w:p>
        </w:tc>
        <w:tc>
          <w:tcPr>
            <w:tcW w:type="dxa" w:w="4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backgrounds, primary text on dark (20%)</w:t>
            </w:r>
          </w:p>
        </w:tc>
      </w:tr>
    </w:tbl>
    <w:p>
      <w:pPr>
        <w:pStyle w:val="Heading2"/>
      </w:pPr>
      <w:r>
        <w:t xml:space="preserve">Semantic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systems</w:t>
            </w:r>
          </w:p>
        </w:tc>
        <w:tc>
          <w:tcPr>
            <w:tcW w:type="dxa" w:w="2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Aquamarine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#3BE494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 systems</w:t>
            </w:r>
          </w:p>
        </w:tc>
        <w:tc>
          <w:tcPr>
            <w:tcW w:type="dxa" w:w="2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Ultramarine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#2D33E0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systems</w:t>
            </w:r>
          </w:p>
        </w:tc>
        <w:tc>
          <w:tcPr>
            <w:tcW w:type="dxa" w:w="2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#E74C3C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 systems</w:t>
            </w:r>
          </w:p>
        </w:tc>
        <w:tc>
          <w:tcPr>
            <w:tcW w:type="dxa" w:w="2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#F39C12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criticality</w:t>
            </w:r>
          </w:p>
        </w:tc>
        <w:tc>
          <w:tcPr>
            <w:tcW w:type="dxa" w:w="2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#E74C3C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criticality</w:t>
            </w:r>
          </w:p>
        </w:tc>
        <w:tc>
          <w:tcPr>
            <w:tcW w:type="dxa" w:w="2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#F39C12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criticality</w:t>
            </w:r>
          </w:p>
        </w:tc>
        <w:tc>
          <w:tcPr>
            <w:tcW w:type="dxa" w:w="2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#3BE494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As-built status</w:t>
            </w:r>
          </w:p>
        </w:tc>
        <w:tc>
          <w:tcPr>
            <w:tcW w:type="dxa" w:w="2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#3BE494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status</w:t>
            </w:r>
          </w:p>
        </w:tc>
        <w:tc>
          <w:tcPr>
            <w:tcW w:type="dxa" w:w="2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#2D33E0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status</w:t>
            </w:r>
          </w:p>
        </w:tc>
        <w:tc>
          <w:tcPr>
            <w:tcW w:type="dxa" w:w="2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#E67E22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 layer</w:t>
            </w:r>
          </w:p>
        </w:tc>
        <w:tc>
          <w:tcPr>
            <w:tcW w:type="dxa" w:w="2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#3BE494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 layer</w:t>
            </w:r>
          </w:p>
        </w:tc>
        <w:tc>
          <w:tcPr>
            <w:tcW w:type="dxa" w:w="2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#2D33E0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Line/reference layer</w:t>
            </w:r>
          </w:p>
        </w:tc>
        <w:tc>
          <w:tcPr>
            <w:tcW w:type="dxa" w:w="2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#E67E22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Cross-reference items</w:t>
            </w:r>
          </w:p>
        </w:tc>
        <w:tc>
          <w:tcPr>
            <w:tcW w:type="dxa" w:w="2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#E67E22</w:t>
            </w:r>
          </w:p>
        </w:tc>
      </w:tr>
      <w:tr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Continuation markers</w:t>
            </w:r>
          </w:p>
        </w:tc>
        <w:tc>
          <w:tcPr>
            <w:tcW w:type="dxa" w:w="2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#E67E22</w:t>
            </w:r>
          </w:p>
        </w:tc>
      </w:tr>
    </w:tbl>
    <w:p>
      <w:pPr>
        <w:pStyle w:val="Heading2"/>
      </w:pPr>
      <w: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000"/>
        <w:gridCol w:w="800"/>
        <w:gridCol w:w="3360"/>
      </w:tblGrid>
      <w:tr>
        <w:tc>
          <w:tcPr>
            <w:tcW w:type="dxa" w:w="2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title</w:t>
            </w:r>
          </w:p>
        </w:tc>
        <w:tc>
          <w:tcPr>
            <w:tcW w:type="dxa" w:w="2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Aeonik (fallback: Inter/Arial)</w:t>
            </w:r>
          </w:p>
        </w:tc>
        <w:tc>
          <w:tcPr>
            <w:tcW w:type="dxa" w:w="1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13px</w:t>
            </w:r>
          </w:p>
        </w:tc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</w:tc>
      </w:tr>
      <w:tr>
        <w:tc>
          <w:tcPr>
            <w:tcW w:type="dxa" w:w="2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headers</w:t>
            </w:r>
          </w:p>
        </w:tc>
        <w:tc>
          <w:tcPr>
            <w:tcW w:type="dxa" w:w="2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</w:t>
            </w:r>
          </w:p>
        </w:tc>
        <w:tc>
          <w:tcPr>
            <w:tcW w:type="dxa" w:w="1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10px</w:t>
            </w:r>
          </w:p>
        </w:tc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Uppercase, 0.5px letter-spacing, system color</w:t>
            </w:r>
          </w:p>
        </w:tc>
      </w:tr>
      <w:tr>
        <w:tc>
          <w:tcPr>
            <w:tcW w:type="dxa" w:w="2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primary text</w:t>
            </w:r>
          </w:p>
        </w:tc>
        <w:tc>
          <w:tcPr>
            <w:tcW w:type="dxa" w:w="2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</w:t>
            </w:r>
          </w:p>
        </w:tc>
        <w:tc>
          <w:tcPr>
            <w:tcW w:type="dxa" w:w="1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11-11.5px</w:t>
            </w:r>
          </w:p>
        </w:tc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400-600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when selected, #D3DFE2 default</w:t>
            </w:r>
          </w:p>
        </w:tc>
      </w:tr>
      <w:tr>
        <w:tc>
          <w:tcPr>
            <w:tcW w:type="dxa" w:w="2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secondary text</w:t>
            </w:r>
          </w:p>
        </w:tc>
        <w:tc>
          <w:tcPr>
            <w:tcW w:type="dxa" w:w="2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</w:t>
            </w:r>
          </w:p>
        </w:tc>
        <w:tc>
          <w:tcPr>
            <w:tcW w:type="dxa" w:w="1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10px</w:t>
            </w:r>
          </w:p>
        </w:tc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#919A9B</w:t>
            </w:r>
          </w:p>
        </w:tc>
      </w:tr>
      <w:tr>
        <w:tc>
          <w:tcPr>
            <w:tcW w:type="dxa" w:w="2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Monospace (line numbers)</w:t>
            </w:r>
          </w:p>
        </w:tc>
        <w:tc>
          <w:tcPr>
            <w:tcW w:type="dxa" w:w="2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Courier New/monospace</w:t>
            </w:r>
          </w:p>
        </w:tc>
        <w:tc>
          <w:tcPr>
            <w:tcW w:type="dxa" w:w="1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10.5px</w:t>
            </w:r>
          </w:p>
        </w:tc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400-600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for line numbers and tags</w:t>
            </w:r>
          </w:p>
        </w:tc>
      </w:tr>
      <w:tr>
        <w:tc>
          <w:tcPr>
            <w:tcW w:type="dxa" w:w="2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Badges/chips</w:t>
            </w:r>
          </w:p>
        </w:tc>
        <w:tc>
          <w:tcPr>
            <w:tcW w:type="dxa" w:w="2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</w:t>
            </w:r>
          </w:p>
        </w:tc>
        <w:tc>
          <w:tcPr>
            <w:tcW w:type="dxa" w:w="1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8-9px</w:t>
            </w:r>
          </w:p>
        </w:tc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Colored background at 15-20% opacity</w:t>
            </w:r>
          </w:p>
        </w:tc>
      </w:tr>
      <w:tr>
        <w:tc>
          <w:tcPr>
            <w:tcW w:type="dxa" w:w="2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 bar</w:t>
            </w:r>
          </w:p>
        </w:tc>
        <w:tc>
          <w:tcPr>
            <w:tcW w:type="dxa" w:w="2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</w:t>
            </w:r>
          </w:p>
        </w:tc>
        <w:tc>
          <w:tcPr>
            <w:tcW w:type="dxa" w:w="1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15px tag, 11px desc</w:t>
            </w:r>
          </w:p>
        </w:tc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700/400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detail bar</w:t>
            </w:r>
          </w:p>
        </w:tc>
      </w:tr>
      <w:tr>
        <w:tc>
          <w:tcPr>
            <w:tcW w:type="dxa" w:w="2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table headers</w:t>
            </w:r>
          </w:p>
        </w:tc>
        <w:tc>
          <w:tcPr>
            <w:tcW w:type="dxa" w:w="2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</w:t>
            </w:r>
          </w:p>
        </w:tc>
        <w:tc>
          <w:tcPr>
            <w:tcW w:type="dxa" w:w="1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10px</w:t>
            </w:r>
          </w:p>
        </w:tc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accent color</w:t>
            </w:r>
          </w:p>
        </w:tc>
      </w:tr>
      <w:tr>
        <w:tc>
          <w:tcPr>
            <w:tcW w:type="dxa" w:w="2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table cells</w:t>
            </w:r>
          </w:p>
        </w:tc>
        <w:tc>
          <w:tcPr>
            <w:tcW w:type="dxa" w:w="2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</w:t>
            </w:r>
          </w:p>
        </w:tc>
        <w:tc>
          <w:tcPr>
            <w:tcW w:type="dxa" w:w="10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11px</w:t>
            </w:r>
          </w:p>
        </w:tc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3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#D3DFE2</w:t>
            </w:r>
          </w:p>
        </w:tc>
      </w:tr>
    </w:tbl>
    <w:p>
      <w:pPr>
        <w:pStyle w:val="Heading2"/>
      </w:pPr>
      <w:r>
        <w:t xml:space="preserve">Spacing &amp;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5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 radius (cards)</w:t>
            </w:r>
          </w:p>
        </w:tc>
        <w:tc>
          <w:tcPr>
            <w:tcW w:type="dxa" w:w="5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5-6px</w:t>
            </w:r>
          </w:p>
        </w:tc>
      </w:tr>
      <w:tr>
        <w:tc>
          <w:tcPr>
            <w:tcW w:type="dxa" w:w="3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 radius (badges)</w:t>
            </w:r>
          </w:p>
        </w:tc>
        <w:tc>
          <w:tcPr>
            <w:tcW w:type="dxa" w:w="5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6-10px</w:t>
            </w:r>
          </w:p>
        </w:tc>
      </w:tr>
      <w:tr>
        <w:tc>
          <w:tcPr>
            <w:tcW w:type="dxa" w:w="3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 radius (buttons)</w:t>
            </w:r>
          </w:p>
        </w:tc>
        <w:tc>
          <w:tcPr>
            <w:tcW w:type="dxa" w:w="5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6px</w:t>
            </w:r>
          </w:p>
        </w:tc>
      </w:tr>
      <w:tr>
        <w:tc>
          <w:tcPr>
            <w:tcW w:type="dxa" w:w="3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borders</w:t>
            </w:r>
          </w:p>
        </w:tc>
        <w:tc>
          <w:tcPr>
            <w:tcW w:type="dxa" w:w="5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 solid #ffffff06 (6% white opacity)</w:t>
            </w:r>
          </w:p>
        </w:tc>
      </w:tr>
      <w:tr>
        <w:tc>
          <w:tcPr>
            <w:tcW w:type="dxa" w:w="3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item left border</w:t>
            </w:r>
          </w:p>
        </w:tc>
        <w:tc>
          <w:tcPr>
            <w:tcW w:type="dxa" w:w="5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3px solid [system color]</w:t>
            </w:r>
          </w:p>
        </w:tc>
      </w:tr>
      <w:tr>
        <w:tc>
          <w:tcPr>
            <w:tcW w:type="dxa" w:w="3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Cross-reference left border</w:t>
            </w:r>
          </w:p>
        </w:tc>
        <w:tc>
          <w:tcPr>
            <w:tcW w:type="dxa" w:w="5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3px solid [owning system color] at 44% opacity</w:t>
            </w:r>
          </w:p>
        </w:tc>
      </w:tr>
      <w:tr>
        <w:tc>
          <w:tcPr>
            <w:tcW w:type="dxa" w:w="3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padding</w:t>
            </w:r>
          </w:p>
        </w:tc>
        <w:tc>
          <w:tcPr>
            <w:tcW w:type="dxa" w:w="5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6-8px horizontal, 5-8px vertical</w:t>
            </w:r>
          </w:p>
        </w:tc>
      </w:tr>
      <w:tr>
        <w:tc>
          <w:tcPr>
            <w:tcW w:type="dxa" w:w="3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margin</w:t>
            </w:r>
          </w:p>
        </w:tc>
        <w:tc>
          <w:tcPr>
            <w:tcW w:type="dxa" w:w="5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 3px</w:t>
            </w:r>
          </w:p>
        </w:tc>
      </w:tr>
      <w:tr>
        <w:tc>
          <w:tcPr>
            <w:tcW w:type="dxa" w:w="3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header padding</w:t>
            </w:r>
          </w:p>
        </w:tc>
        <w:tc>
          <w:tcPr>
            <w:tcW w:type="dxa" w:w="5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5-8px</w:t>
            </w:r>
          </w:p>
        </w:tc>
      </w:tr>
      <w:tr>
        <w:tc>
          <w:tcPr>
            <w:tcW w:type="dxa" w:w="3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header background</w:t>
            </w:r>
          </w:p>
        </w:tc>
        <w:tc>
          <w:tcPr>
            <w:tcW w:type="dxa" w:w="5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[color] at 8% opacity</w:t>
            </w:r>
          </w:p>
        </w:tc>
      </w:tr>
      <w:tr>
        <w:tc>
          <w:tcPr>
            <w:tcW w:type="dxa" w:w="3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accent bar</w:t>
            </w:r>
          </w:p>
        </w:tc>
        <w:tc>
          <w:tcPr>
            <w:tcW w:type="dxa" w:w="5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3px wide, 14px tall, rounded 2px, system color</w:t>
            </w:r>
          </w:p>
        </w:tc>
      </w:tr>
      <w:tr>
        <w:tc>
          <w:tcPr>
            <w:tcW w:type="dxa" w:w="3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</w:t>
            </w:r>
          </w:p>
        </w:tc>
        <w:tc>
          <w:tcPr>
            <w:tcW w:type="dxa" w:w="5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Default. P&amp;ID canvas area always light (#F5F7F7)</w:t>
            </w:r>
          </w:p>
        </w:tc>
      </w:tr>
      <w:tr>
        <w:tc>
          <w:tcPr>
            <w:tcW w:type="dxa" w:w="3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Miller column layout</w:t>
            </w:r>
          </w:p>
        </w:tc>
        <w:tc>
          <w:tcPr>
            <w:tcW w:type="dxa" w:w="5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flex: 1 1 0 per column, 5 equal columns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Corrected Data Model (Post-Audit)</w:t>
      </w:r>
    </w:p>
    <w:p>
      <w:pPr>
        <w:pBdr>
          <w:left w:val="single" w:color="3BE494" w:sz="12" w:space="8"/>
        </w:pBdr>
        <w:spacing w:after="160"/>
        <w:ind w:left="24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CRITICAL: The asset hierarchy is NOT a strict tree. It is a graph with primary paths and cross-references. The navigation presents a primary path (cascade) while surfacing cross-references as visual indicators.</w:t>
      </w:r>
    </w:p>
    <w:p>
      <w:pPr>
        <w:pStyle w:val="Heading2"/>
      </w:pPr>
      <w:r>
        <w:t xml:space="preserve">Entity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200"/>
        <w:gridCol w:w="4160"/>
      </w:tblGrid>
      <w:tr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4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Belongs To</w:t>
            </w:r>
          </w:p>
        </w:tc>
        <w:tc>
          <w:tcPr>
            <w:tcW w:type="dxa" w:w="4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platform_id</w:t>
            </w:r>
          </w:p>
        </w:tc>
        <w:tc>
          <w:tcPr>
            <w:tcW w:type="dxa" w:w="2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Concession/Field/Complex</w:t>
            </w:r>
          </w:p>
        </w:tc>
        <w:tc>
          <w:tcPr>
            <w:tcW w:type="dxa" w:w="4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code, type, status</w:t>
            </w:r>
          </w:p>
        </w:tc>
      </w:tr>
      <w:tr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system_id</w:t>
            </w:r>
          </w:p>
        </w:tc>
        <w:tc>
          <w:tcPr>
            <w:tcW w:type="dxa" w:w="2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(1:N)</w:t>
            </w:r>
          </w:p>
        </w:tc>
        <w:tc>
          <w:tcPr>
            <w:tcW w:type="dxa" w:w="4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code, sysType (process/utility/safety/instrument)</w:t>
            </w:r>
          </w:p>
        </w:tc>
      </w:tr>
      <w:tr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P&amp;ID</w:t>
            </w:r>
          </w:p>
        </w:tc>
        <w:tc>
          <w:tcPr>
            <w:tcW w:type="dxa" w:w="14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pnid_id</w:t>
            </w:r>
          </w:p>
        </w:tc>
        <w:tc>
          <w:tcPr>
            <w:tcW w:type="dxa" w:w="2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(via junction to System)</w:t>
            </w:r>
          </w:p>
        </w:tc>
        <w:tc>
          <w:tcPr>
            <w:tcW w:type="dxa" w:w="4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title, rev, status, hasImage</w:t>
            </w:r>
          </w:p>
        </w:tc>
      </w:tr>
      <w:tr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</w:t>
            </w:r>
          </w:p>
        </w:tc>
        <w:tc>
          <w:tcPr>
            <w:tcW w:type="dxa" w:w="14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line_id</w:t>
            </w:r>
          </w:p>
        </w:tc>
        <w:tc>
          <w:tcPr>
            <w:tcW w:type="dxa" w:w="2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(ownership, 1:N)</w:t>
            </w:r>
          </w:p>
        </w:tc>
        <w:tc>
          <w:tcPr>
            <w:tcW w:type="dxa" w:w="4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service, size, pipeClass, material, dp, dt, op, ot</w:t>
            </w:r>
          </w:p>
        </w:tc>
      </w:tr>
      <w:tr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</w:t>
            </w:r>
          </w:p>
        </w:tc>
        <w:tc>
          <w:tcPr>
            <w:tcW w:type="dxa" w:w="14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equipment_id</w:t>
            </w:r>
          </w:p>
        </w:tc>
        <w:tc>
          <w:tcPr>
            <w:tcW w:type="dxa" w:w="2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(1:N)</w:t>
            </w:r>
          </w:p>
        </w:tc>
        <w:tc>
          <w:tcPr>
            <w:tcW w:type="dxa" w:w="4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tag, eqType, desc, criticality, sil, insp, cl, lineId (nullable)</w:t>
            </w:r>
          </w:p>
        </w:tc>
      </w:tr>
      <w:tr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</w:t>
            </w:r>
          </w:p>
        </w:tc>
        <w:tc>
          <w:tcPr>
            <w:tcW w:type="dxa" w:w="14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instrument_id</w:t>
            </w:r>
          </w:p>
        </w:tc>
        <w:tc>
          <w:tcPr>
            <w:tcW w:type="dxa" w:w="2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(1:N)</w:t>
            </w:r>
          </w:p>
        </w:tc>
        <w:tc>
          <w:tcPr>
            <w:tcW w:type="dxa" w:w="4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tag, iType, desc, range, scada, lineId</w:t>
            </w:r>
          </w:p>
        </w:tc>
      </w:tr>
    </w:tbl>
    <w:p>
      <w:pPr>
        <w:pStyle w:val="Heading2"/>
      </w:pPr>
      <w:r>
        <w:t xml:space="preserve">Junction Tables (M:N Relationships)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800"/>
        <w:gridCol w:w="3560"/>
      </w:tblGrid>
      <w:tr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Junction</w:t>
            </w:r>
          </w:p>
        </w:tc>
        <w:tc>
          <w:tcPr>
            <w:tcW w:type="dxa" w:w="1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 1</w:t>
            </w:r>
          </w:p>
        </w:tc>
        <w:tc>
          <w:tcPr>
            <w:tcW w:type="dxa" w:w="1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 2</w:t>
            </w:r>
          </w:p>
        </w:tc>
        <w:tc>
          <w:tcPr>
            <w:tcW w:type="dxa" w:w="1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 Columns</w:t>
            </w:r>
          </w:p>
        </w:tc>
        <w:tc>
          <w:tcPr>
            <w:tcW w:type="dxa" w:w="35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pnid_system</w:t>
            </w:r>
          </w:p>
        </w:tc>
        <w:tc>
          <w:tcPr>
            <w:tcW w:type="dxa" w:w="1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pnid_id</w:t>
            </w:r>
          </w:p>
        </w:tc>
        <w:tc>
          <w:tcPr>
            <w:tcW w:type="dxa" w:w="1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system_id</w:t>
            </w:r>
          </w:p>
        </w:tc>
        <w:tc>
          <w:tcPr>
            <w:tcW w:type="dxa" w:w="1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isPrimary (BOOLEAN)</w:t>
            </w:r>
          </w:p>
        </w:tc>
        <w:tc>
          <w:tcPr>
            <w:tcW w:type="dxa" w:w="35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P&amp;ID belongs to primary system, may reference secondary systems. A P&amp;ID can cross system boundaries.</w:t>
            </w:r>
          </w:p>
        </w:tc>
      </w:tr>
      <w:tr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pnid_line</w:t>
            </w:r>
          </w:p>
        </w:tc>
        <w:tc>
          <w:tcPr>
            <w:tcW w:type="dxa" w:w="1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pnid_id</w:t>
            </w:r>
          </w:p>
        </w:tc>
        <w:tc>
          <w:tcPr>
            <w:tcW w:type="dxa" w:w="1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line_id</w:t>
            </w:r>
          </w:p>
        </w:tc>
        <w:tc>
          <w:tcPr>
            <w:tcW w:type="dxa" w:w="1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isContinuation (BOOLEAN)</w:t>
            </w:r>
          </w:p>
        </w:tc>
        <w:tc>
          <w:tcPr>
            <w:tcW w:type="dxa" w:w="35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lines APPEAR on which P&amp;IDs. A line can appear on multiple P&amp;IDs. Continuation flag marks lines that start on another sheet.</w:t>
            </w:r>
          </w:p>
        </w:tc>
      </w:tr>
    </w:tbl>
    <w:p>
      <w:pPr>
        <w:pStyle w:val="Heading2"/>
      </w:pPr>
      <w:r>
        <w:t xml:space="preserve">Key Relationships Explained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OWNS lines (line.systemId). This is permanent ownership regardless of which P&amp;IDs show the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P&amp;ID SHOWS lines (pnid_line junction). This is display/appearance. A Closed Drain line owned by CD system appears on a PV019 P&amp;ID.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P&amp;ID has ONE primary system (pnid_system.isPrimary=true) and zero or more secondary systems (isPrimary=false).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Equipment belongs to a System (equipment.systemId). Equipment MAY be on a line (equipment.lineId) or standalone (lineId=null).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Instruments are always on a line (instrument.lineId). Instruments belong to a system (instrument.systemId).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Lines can appear on multiple P&amp;IDs. Example: CO-6"-EC12NLD-1195AD appears on P&amp;ID 15101 (origin) AND P&amp;ID 15117 (continuation to manifold).</w:t>
      </w:r>
    </w:p>
    <w:p>
      <w:pPr>
        <w:pStyle w:val="Heading2"/>
      </w:pPr>
      <w:r>
        <w:t xml:space="preserve">Cross-System References in Real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P&amp;ID AD219-490-D-15101 (primary system: PV019) also shows: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CO-2"-EC59LL-1447AD — Closed Drain line, owned by CD system (s9)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CO-1"-EC12NLD-1195140 — Sample line, owned by SC system (s12)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PI-2"-HCSNL2-637AD — Gas Lift to PV019, owned by GL system (s5)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P&amp;ID AD219-490-D-15117 (primary system: PM) shows continuation of: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CO-6"-EC12NLD-1195AD — PV019 production line continuing to manifold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CO-6"-EC12NLD-1195340 — PB019 production line continuing to manifold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CO-6"-EC12NLD-1196AD — PV020 production line continuing to manifold</w:t>
      </w:r>
    </w:p>
    <w:p>
      <w:r>
        <w:br w:type="page"/>
      </w:r>
    </w:p>
    <w:p>
      <w:pPr>
        <w:pStyle w:val="Heading1"/>
      </w:pPr>
      <w:r>
        <w:t xml:space="preserve">UI Patterns and Interactions</w:t>
      </w:r>
    </w:p>
    <w:p>
      <w:pPr>
        <w:pStyle w:val="Heading2"/>
      </w:pPr>
      <w:r>
        <w:t xml:space="preserve">Pattern 1: Miller Column Cascade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equal-width columns arranged left-to-right: Systems → P&amp;IDs → Lines → Equipment → Instruments. Each column has a colored header bar with count badge.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Cascade behavior: Clicking an item in column N filters columns N+1 through 5. Clicking the same item deselects it, expanding downstream columns back to show all items.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Selected items show: colored left border (3px solid [color]), background tinted at 15% opacity.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Hover items show: background #ffffff at 6% opacity.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column header is clickable to open the Register view for that entity type.</w:t>
      </w:r>
    </w:p>
    <w:p>
      <w:pPr>
        <w:pStyle w:val="Heading2"/>
      </w:pPr>
      <w:r>
        <w:t xml:space="preserve">Pattern 2: Cross-Reference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Item</w:t>
            </w:r>
          </w:p>
        </w:tc>
        <w:tc>
          <w:tcPr>
            <w:tcW w:type="dxa" w:w="348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Cross-Reference Item</w:t>
            </w:r>
          </w:p>
        </w:tc>
      </w:tr>
      <w:tr>
        <w:tc>
          <w:tcPr>
            <w:tcW w:type="dxa" w:w="24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Opacity</w:t>
            </w:r>
          </w:p>
        </w:tc>
        <w:tc>
          <w:tcPr>
            <w:tcW w:type="dxa" w:w="348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(full)</w:t>
            </w:r>
          </w:p>
        </w:tc>
        <w:tc>
          <w:tcPr>
            <w:tcW w:type="dxa" w:w="348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0.65 (reduced)</w:t>
            </w:r>
          </w:p>
        </w:tc>
      </w:tr>
      <w:tr>
        <w:tc>
          <w:tcPr>
            <w:tcW w:type="dxa" w:w="24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border</w:t>
            </w:r>
          </w:p>
        </w:tc>
        <w:tc>
          <w:tcPr>
            <w:tcW w:type="dxa" w:w="348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3px solid [own color]</w:t>
            </w:r>
          </w:p>
        </w:tc>
        <w:tc>
          <w:tcPr>
            <w:tcW w:type="dxa" w:w="348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3px solid [owning system color] at 44%</w:t>
            </w:r>
          </w:p>
        </w:tc>
      </w:tr>
      <w:tr>
        <w:tc>
          <w:tcPr>
            <w:tcW w:type="dxa" w:w="24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prefix</w:t>
            </w:r>
          </w:p>
        </w:tc>
        <w:tc>
          <w:tcPr>
            <w:tcW w:type="dxa" w:w="348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(📋 for P&amp;ID, none for line)</w:t>
            </w:r>
          </w:p>
        </w:tc>
        <w:tc>
          <w:tcPr>
            <w:tcW w:type="dxa" w:w="348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↗ arrow for cross-references and continuations</w:t>
            </w:r>
          </w:p>
        </w:tc>
      </w:tr>
      <w:tr>
        <w:tc>
          <w:tcPr>
            <w:tcW w:type="dxa" w:w="24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badge</w:t>
            </w:r>
          </w:p>
        </w:tc>
        <w:tc>
          <w:tcPr>
            <w:tcW w:type="dxa" w:w="348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shown (context is clear from column filter)</w:t>
            </w:r>
          </w:p>
        </w:tc>
        <w:tc>
          <w:tcPr>
            <w:tcW w:type="dxa" w:w="348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[SYS CODE] badge in owning system's color at 20% bg</w:t>
            </w:r>
          </w:p>
        </w:tc>
      </w:tr>
      <w:tr>
        <w:tc>
          <w:tcPr>
            <w:tcW w:type="dxa" w:w="24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Continuation badge</w:t>
            </w:r>
          </w:p>
        </w:tc>
        <w:tc>
          <w:tcPr>
            <w:tcW w:type="dxa" w:w="348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shown</w:t>
            </w:r>
          </w:p>
        </w:tc>
        <w:tc>
          <w:tcPr>
            <w:tcW w:type="dxa" w:w="348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'cont.' badge in orange</w:t>
            </w:r>
          </w:p>
        </w:tc>
      </w:tr>
      <w:tr>
        <w:tc>
          <w:tcPr>
            <w:tcW w:type="dxa" w:w="24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Multi-P&amp;ID indicator</w:t>
            </w:r>
          </w:p>
        </w:tc>
        <w:tc>
          <w:tcPr>
            <w:tcW w:type="dxa" w:w="348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shown</w:t>
            </w:r>
          </w:p>
        </w:tc>
        <w:tc>
          <w:tcPr>
            <w:tcW w:type="dxa" w:w="348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 P&amp;IDs' count in blue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‘🔗 X-Ref’ toggle in the toolbar controls whether cross-reference items appear. When OFF, only items owned by the selected system are shown. When ON (default), cross-system items appear with visual indicators.</w:t>
      </w:r>
    </w:p>
    <w:p>
      <w:pPr>
        <w:pStyle w:val="Heading2"/>
      </w:pPr>
      <w:r>
        <w:t xml:space="preserve">Pattern 3: Master Register 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Clicking any column header expands it to full-width table view. Four register types: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P&amp;ID Register: Drawing No., Title, Primary System, Rev, Status, All Systems, System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 List Register: Line Number, Service, Size, Class, Material, DP, DT, System, P&amp;IDs, P&amp;ID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Equipment Register: Tag, Type, Description, System, Criticality, SIL, Insp Group, Corr Loop, Line/Location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Instrument Index: Tag, Type, Description, Range, SCADA Tag, System, 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Register features: Per-column text filter inputs at top. Click column header to sort (ascending/descending toggle). Click any row to show details in bottom bar. 'Back to Columns' button returns to Miller layout.</w:t>
      </w:r>
    </w:p>
    <w:p>
      <w:pPr>
        <w:pStyle w:val="Heading2"/>
      </w:pPr>
      <w:r>
        <w:t xml:space="preserve">Pattern 4: Detail 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Fixed bar at bottom of screen. Appears when any item is selected (in either Miller or Register mode). Shows: tag/name (15px bold white), type badge, criticality badge, SIL badge, description, inspection group, corrosion loop, range, SCADA tag. Close button on right.</w:t>
      </w:r>
    </w:p>
    <w:p>
      <w:pPr>
        <w:pStyle w:val="Heading2"/>
      </w:pPr>
      <w:r>
        <w:t xml:space="preserve">Pattern 5: Breadcrumb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Top bar shows the current cascade filter path: Platform Code &gt; System Code &gt; P&amp;ID Number &gt; Line Prefix. Items separated by › character. Last item in green (#3BE494), previous items in muted gray (#919A9B). When in Register mode, shows 'REGISTER_TYPE REGISTER' in orange instead.</w:t>
      </w:r>
    </w:p>
    <w:p>
      <w:r>
        <w:br w:type="page"/>
      </w:r>
    </w:p>
    <w:p>
      <w:pPr>
        <w:pStyle w:val="Heading1"/>
      </w:pPr>
      <w:r>
        <w:t xml:space="preserve">Phase 1 Deliverables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600"/>
        <w:gridCol w:w="3200"/>
        <w:gridCol w:w="1160"/>
      </w:tblGrid>
      <w:tr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P1.1</w:t>
            </w:r>
          </w:p>
        </w:tc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Specification</w:t>
            </w:r>
          </w:p>
        </w:tc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Document</w:t>
            </w:r>
          </w:p>
        </w:tc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AssetView_P1.1_Specification_Document.docx</w:t>
            </w:r>
          </w:p>
        </w:tc>
        <w:tc>
          <w:tcPr>
            <w:tcW w:type="dxa" w:w="1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P1.2</w:t>
            </w:r>
          </w:p>
        </w:tc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Hierarchy Navigation (4 iterations)</w:t>
            </w:r>
          </w:p>
        </w:tc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Artifact</w:t>
            </w:r>
          </w:p>
        </w:tc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AssetView_P1.2_v4_DualView.jsx</w:t>
            </w:r>
          </w:p>
        </w:tc>
        <w:tc>
          <w:tcPr>
            <w:tcW w:type="dxa" w:w="1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Superseded by v4</w:t>
            </w:r>
          </w:p>
        </w:tc>
      </w:tr>
      <w:tr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P1.3</w:t>
            </w:r>
          </w:p>
        </w:tc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P&amp;ID Viewer</w:t>
            </w:r>
          </w:p>
        </w:tc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Artifact</w:t>
            </w:r>
          </w:p>
        </w:tc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AssetView_P1.3_PID_Viewer.jsx</w:t>
            </w:r>
          </w:p>
        </w:tc>
        <w:tc>
          <w:tcPr>
            <w:tcW w:type="dxa" w:w="1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P1.4</w:t>
            </w:r>
          </w:p>
        </w:tc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AI Chat</w:t>
            </w:r>
          </w:p>
        </w:tc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Artifact</w:t>
            </w:r>
          </w:p>
        </w:tc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AssetView_P1.4_AI_Chat.jsx</w:t>
            </w:r>
          </w:p>
        </w:tc>
        <w:tc>
          <w:tcPr>
            <w:tcW w:type="dxa" w:w="1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P1.5</w:t>
            </w:r>
          </w:p>
        </w:tc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Side-by-Side View</w:t>
            </w:r>
          </w:p>
        </w:tc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Artifact</w:t>
            </w:r>
          </w:p>
        </w:tc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AssetView_P1.5_SideBySide.jsx</w:t>
            </w:r>
          </w:p>
        </w:tc>
        <w:tc>
          <w:tcPr>
            <w:tcW w:type="dxa" w:w="1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P1.6</w:t>
            </w:r>
          </w:p>
        </w:tc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Collaborative Annotations</w:t>
            </w:r>
          </w:p>
        </w:tc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Artifact</w:t>
            </w:r>
          </w:p>
        </w:tc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AssetView_P1.6_Annotations.jsx</w:t>
            </w:r>
          </w:p>
        </w:tc>
        <w:tc>
          <w:tcPr>
            <w:tcW w:type="dxa" w:w="1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P1.7</w:t>
            </w:r>
          </w:p>
        </w:tc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 Review Dashboard</w:t>
            </w:r>
          </w:p>
        </w:tc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Artifact</w:t>
            </w:r>
          </w:p>
        </w:tc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AssetView_P1.7_POC_Review.jsx</w:t>
            </w:r>
          </w:p>
        </w:tc>
        <w:tc>
          <w:tcPr>
            <w:tcW w:type="dxa" w:w="1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Model Audit Report</w:t>
            </w:r>
          </w:p>
        </w:tc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Document</w:t>
            </w:r>
          </w:p>
        </w:tc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AssetView_DataModel_Audit.docx</w:t>
            </w:r>
          </w:p>
        </w:tc>
        <w:tc>
          <w:tcPr>
            <w:tcW w:type="dxa" w:w="1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Corrected Miller Columns</w:t>
            </w:r>
          </w:p>
        </w:tc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HTML</w:t>
            </w:r>
          </w:p>
        </w:tc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AssetView_v3_Corrected.html</w:t>
            </w:r>
          </w:p>
        </w:tc>
        <w:tc>
          <w:tcPr>
            <w:tcW w:type="dxa" w:w="1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Superseded by v4</w:t>
            </w:r>
          </w:p>
        </w:tc>
      </w:tr>
      <w:tr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</w:t>
            </w:r>
          </w:p>
        </w:tc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Final: Miller + Registers</w:t>
            </w:r>
          </w:p>
        </w:tc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HTML</w:t>
            </w:r>
          </w:p>
        </w:tc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AssetView_v4_WithRegisters.html</w:t>
            </w:r>
          </w:p>
        </w:tc>
        <w:tc>
          <w:tcPr>
            <w:tcW w:type="dxa" w:w="1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Bible</w:t>
            </w:r>
          </w:p>
        </w:tc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</w:t>
            </w:r>
          </w:p>
        </w:tc>
        <w:tc>
          <w:tcPr>
            <w:tcW w:type="dxa" w:w="1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Document</w:t>
            </w:r>
          </w:p>
        </w:tc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AssetView_Product_Bible.docx</w:t>
            </w:r>
          </w:p>
        </w:tc>
        <w:tc>
          <w:tcPr>
            <w:tcW w:type="dxa" w:w="1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</w:t>
            </w:r>
          </w:p>
        </w:tc>
      </w:tr>
    </w:tbl>
    <w:p>
      <w:pPr>
        <w:pStyle w:val="Heading2"/>
      </w:pPr>
      <w:r>
        <w:t xml:space="preserve">Final Application 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definitive POC application is AssetView_v4_WithRegisters.html. This is a self-contained HTML file that opens in any browser. It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React 18.2.0 loaded from CDN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Babel 7.23.9 for JSX compilation (loaded from CDN)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real P&amp;ID image (AD219-490-D-15101) embedded as base64 JPEG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corrected data model with junction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Miller column cascade navigation with cross-reference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Master register views for P&amp;IDs, Lines, Equipment, Instruments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P&amp;ID viewer with annotation hotspots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styling inline (no external CSS dependencies)</w:t>
      </w:r>
    </w:p>
    <w:p>
      <w:r>
        <w:br w:type="page"/>
      </w:r>
    </w:p>
    <w:p>
      <w:pPr>
        <w:pStyle w:val="Heading1"/>
      </w:pPr>
      <w:r>
        <w:t xml:space="preserve">Complete Interaction Specification</w:t>
      </w:r>
    </w:p>
    <w:p>
      <w:pPr>
        <w:pStyle w:val="Heading2"/>
      </w:pPr>
      <w:r>
        <w:t xml:space="preserve">Miller Column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system</w:t>
            </w:r>
          </w:p>
        </w:tc>
        <w:tc>
          <w:tcPr>
            <w:tcW w:type="dxa" w:w="6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 P&amp;IDs to primary + cross-ref. Filters Lines to owned + cross-ref. Filters Equipment and Instruments to system. Highlights system with colored left border.</w:t>
            </w:r>
          </w:p>
        </w:tc>
      </w:tr>
      <w:tr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same system again</w:t>
            </w:r>
          </w:p>
        </w:tc>
        <w:tc>
          <w:tcPr>
            <w:tcW w:type="dxa" w:w="6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Deselects. All downstream columns return to showing all items for the platform.</w:t>
            </w:r>
          </w:p>
        </w:tc>
      </w:tr>
      <w:tr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P&amp;ID</w:t>
            </w:r>
          </w:p>
        </w:tc>
        <w:tc>
          <w:tcPr>
            <w:tcW w:type="dxa" w:w="6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 Lines to all lines APPEARING on that P&amp;ID (from any system). Equipment shows items from those lines + standalone from P&amp;ID's systems. Instruments filter to lines on the P&amp;ID.</w:t>
            </w:r>
          </w:p>
        </w:tc>
      </w:tr>
      <w:tr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Line</w:t>
            </w:r>
          </w:p>
        </w:tc>
        <w:tc>
          <w:tcPr>
            <w:tcW w:type="dxa" w:w="6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 shows items ON this line + standalone from the line's system. Instruments show only those on this line.</w:t>
            </w:r>
          </w:p>
        </w:tc>
      </w:tr>
      <w:tr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Equipment item</w:t>
            </w:r>
          </w:p>
        </w:tc>
        <w:tc>
          <w:tcPr>
            <w:tcW w:type="dxa" w:w="6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detail in bottom bar. Does NOT cascade further.</w:t>
            </w:r>
          </w:p>
        </w:tc>
      </w:tr>
      <w:tr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Instrument item</w:t>
            </w:r>
          </w:p>
        </w:tc>
        <w:tc>
          <w:tcPr>
            <w:tcW w:type="dxa" w:w="6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detail in bottom bar. Does NOT cascade further.</w:t>
            </w:r>
          </w:p>
        </w:tc>
      </w:tr>
      <w:tr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column header</w:t>
            </w:r>
          </w:p>
        </w:tc>
        <w:tc>
          <w:tcPr>
            <w:tcW w:type="dxa" w:w="6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Register view for that entity type. Full-width sortable/filterable table.</w:t>
            </w:r>
          </w:p>
        </w:tc>
      </w:tr>
      <w:tr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X-Ref</w:t>
            </w:r>
          </w:p>
        </w:tc>
        <w:tc>
          <w:tcPr>
            <w:tcW w:type="dxa" w:w="6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Shows/hides cross-system items in P&amp;ID, Lines, Equipment columns.</w:t>
            </w:r>
          </w:p>
        </w:tc>
      </w:tr>
      <w:tr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selector</w:t>
            </w:r>
          </w:p>
        </w:tc>
        <w:tc>
          <w:tcPr>
            <w:tcW w:type="dxa" w:w="6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Resets all selections. Columns repopulate for new platform.</w:t>
            </w:r>
          </w:p>
        </w:tc>
      </w:tr>
      <w:tr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bar</w:t>
            </w:r>
          </w:p>
        </w:tc>
        <w:tc>
          <w:tcPr>
            <w:tcW w:type="dxa" w:w="6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 Systems by name/code. Filters P&amp;IDs by number/title. Global across columns.</w:t>
            </w:r>
          </w:p>
        </w:tc>
      </w:tr>
    </w:tbl>
    <w:p>
      <w:pPr>
        <w:pStyle w:val="Heading2"/>
      </w:pPr>
      <w:r>
        <w:t xml:space="preserve">Register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column header</w:t>
            </w:r>
          </w:p>
        </w:tc>
        <w:tc>
          <w:tcPr>
            <w:tcW w:type="dxa" w:w="6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Sorts by that column. First click = ascending. Second click = descending. Arrow indicator shows sort direction.</w:t>
            </w:r>
          </w:p>
        </w:tc>
      </w:tr>
      <w:tr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in filter input</w:t>
            </w:r>
          </w:p>
        </w:tc>
        <w:tc>
          <w:tcPr>
            <w:tcW w:type="dxa" w:w="6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 rows where that column contains the typed text (case-insensitive).</w:t>
            </w:r>
          </w:p>
        </w:tc>
      </w:tr>
      <w:tr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row</w:t>
            </w:r>
          </w:p>
        </w:tc>
        <w:tc>
          <w:tcPr>
            <w:tcW w:type="dxa" w:w="6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item details in bottom bar.</w:t>
            </w:r>
          </w:p>
        </w:tc>
      </w:tr>
      <w:tr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'Back to Columns'</w:t>
            </w:r>
          </w:p>
        </w:tc>
        <w:tc>
          <w:tcPr>
            <w:tcW w:type="dxa" w:w="6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to Miller column view. Preserves previous cascade selections.</w:t>
            </w:r>
          </w:p>
        </w:tc>
      </w:tr>
    </w:tbl>
    <w:p>
      <w:pPr>
        <w:pStyle w:val="Heading2"/>
      </w:pPr>
      <w:r>
        <w:t xml:space="preserve">P&amp;ID Viewer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'Open Viewer'</w:t>
            </w:r>
          </w:p>
        </w:tc>
        <w:tc>
          <w:tcPr>
            <w:tcW w:type="dxa" w:w="6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Appears when P&amp;ID 15101 is selected. Replaces columns with P&amp;ID canvas.</w:t>
            </w:r>
          </w:p>
        </w:tc>
      </w:tr>
      <w:tr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 wheel on canvas</w:t>
            </w:r>
          </w:p>
        </w:tc>
        <w:tc>
          <w:tcPr>
            <w:tcW w:type="dxa" w:w="6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 in/out (range 25%-600%). Smooth scaling.</w:t>
            </w:r>
          </w:p>
        </w:tc>
      </w:tr>
      <w:tr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+ drag canvas</w:t>
            </w:r>
          </w:p>
        </w:tc>
        <w:tc>
          <w:tcPr>
            <w:tcW w:type="dxa" w:w="6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 the drawing.</w:t>
            </w:r>
          </w:p>
        </w:tc>
      </w:tr>
      <w:tr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annotation hotspot</w:t>
            </w:r>
          </w:p>
        </w:tc>
        <w:tc>
          <w:tcPr>
            <w:tcW w:type="dxa" w:w="6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Selects equipment/instrument. Shows detail in bar. Green hotspot = equipment, Blue = instrument, Orange = line reference.</w:t>
            </w:r>
          </w:p>
        </w:tc>
      </w:tr>
      <w:tr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 past 130%</w:t>
            </w:r>
          </w:p>
        </w:tc>
        <w:tc>
          <w:tcPr>
            <w:tcW w:type="dxa" w:w="6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labels appear on annotations.</w:t>
            </w:r>
          </w:p>
        </w:tc>
      </w:tr>
      <w:tr>
        <w:tc>
          <w:tcPr>
            <w:tcW w:type="dxa" w:w="26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'Back to Columns'</w:t>
            </w:r>
          </w:p>
        </w:tc>
        <w:tc>
          <w:tcPr>
            <w:tcW w:type="dxa" w:w="67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to Miller column view.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2 Development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replaces mock data with a real database and production API. The UI patterns from Phase 1 are preserved exactly.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200"/>
        <w:gridCol w:w="4160"/>
      </w:tblGrid>
      <w:tr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163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Decision</w:t>
            </w:r>
          </w:p>
        </w:tc>
      </w:tr>
      <w:tr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P2.1</w:t>
            </w:r>
          </w:p>
        </w:tc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Database Schema</w:t>
            </w:r>
          </w:p>
        </w:tc>
        <w:tc>
          <w:tcPr>
            <w:tcW w:type="dxa" w:w="1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days</w:t>
            </w:r>
          </w:p>
        </w:tc>
        <w:tc>
          <w:tcPr>
            <w:tcW w:type="dxa" w:w="4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all junction tables (pnid_system, pnid_line). Add line list extended fields.</w:t>
            </w:r>
          </w:p>
        </w:tc>
      </w:tr>
      <w:tr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P2.2</w:t>
            </w:r>
          </w:p>
        </w:tc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(Fastify/Express)</w:t>
            </w:r>
          </w:p>
        </w:tc>
        <w:tc>
          <w:tcPr>
            <w:tcW w:type="dxa" w:w="1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days</w:t>
            </w:r>
          </w:p>
        </w:tc>
        <w:tc>
          <w:tcPr>
            <w:tcW w:type="dxa" w:w="4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endpoints map to Miller column queries. OpenAPI spec required.</w:t>
            </w:r>
          </w:p>
        </w:tc>
      </w:tr>
      <w:tr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P2.3</w:t>
            </w:r>
          </w:p>
        </w:tc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Integration</w:t>
            </w:r>
          </w:p>
        </w:tc>
        <w:tc>
          <w:tcPr>
            <w:tcW w:type="dxa" w:w="1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days</w:t>
            </w:r>
          </w:p>
        </w:tc>
        <w:tc>
          <w:tcPr>
            <w:tcW w:type="dxa" w:w="4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 the search bar and register filter/sort.</w:t>
            </w:r>
          </w:p>
        </w:tc>
      </w:tr>
      <w:tr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P2.4</w:t>
            </w:r>
          </w:p>
        </w:tc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P&amp;ID Viewer</w:t>
            </w:r>
          </w:p>
        </w:tc>
        <w:tc>
          <w:tcPr>
            <w:tcW w:type="dxa" w:w="1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days</w:t>
            </w:r>
          </w:p>
        </w:tc>
        <w:tc>
          <w:tcPr>
            <w:tcW w:type="dxa" w:w="4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Tile-based rendering for large PDFs. Layer toggles from POC preserved.</w:t>
            </w:r>
          </w:p>
        </w:tc>
      </w:tr>
      <w:tr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P2.5</w:t>
            </w:r>
          </w:p>
        </w:tc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Context Card</w:t>
            </w:r>
          </w:p>
        </w:tc>
        <w:tc>
          <w:tcPr>
            <w:tcW w:type="dxa" w:w="1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days</w:t>
            </w:r>
          </w:p>
        </w:tc>
        <w:tc>
          <w:tcPr>
            <w:tcW w:type="dxa" w:w="4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detail bar becomes a full slide-out panel with tabs.</w:t>
            </w:r>
          </w:p>
        </w:tc>
      </w:tr>
      <w:tr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P2.6</w:t>
            </w:r>
          </w:p>
        </w:tc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AI Production</w:t>
            </w:r>
          </w:p>
        </w:tc>
        <w:tc>
          <w:tcPr>
            <w:tcW w:type="dxa" w:w="1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days</w:t>
            </w:r>
          </w:p>
        </w:tc>
        <w:tc>
          <w:tcPr>
            <w:tcW w:type="dxa" w:w="4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function calling with real API endpoints. 15+ tools.</w:t>
            </w:r>
          </w:p>
        </w:tc>
      </w:tr>
      <w:tr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P2.7</w:t>
            </w:r>
          </w:p>
        </w:tc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Hierarchy Navigation Production</w:t>
            </w:r>
          </w:p>
        </w:tc>
        <w:tc>
          <w:tcPr>
            <w:tcW w:type="dxa" w:w="1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  <w:tc>
          <w:tcPr>
            <w:tcW w:type="dxa" w:w="4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shd w:fill="F5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Miller columns connected to API instead of mock data.</w:t>
            </w:r>
          </w:p>
        </w:tc>
      </w:tr>
      <w:tr>
        <w:tc>
          <w:tcPr>
            <w:tcW w:type="dxa" w:w="8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P2.8</w:t>
            </w:r>
          </w:p>
        </w:tc>
        <w:tc>
          <w:tcPr>
            <w:tcW w:type="dxa" w:w="3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120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  <w:tc>
          <w:tcPr>
            <w:tcW w:type="dxa" w:w="4160"/>
            <w:tcBorders>
              <w:top w:val="single" w:color="D3DFE2" w:sz="1"/>
              <w:left w:val="single" w:color="D3DFE2" w:sz="1"/>
              <w:bottom w:val="single" w:color="D3DFE2" w:sz="1"/>
              <w:right w:val="single" w:color="D3DF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GO/NO-GO GATE 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Replication Guide for AI Models / Design Teams</w:t>
      </w:r>
    </w:p>
    <w:p>
      <w:pPr>
        <w:pBdr>
          <w:left w:val="single" w:color="3BE494" w:sz="12" w:space="8"/>
        </w:pBdr>
        <w:spacing w:after="160"/>
        <w:ind w:left="24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This section provides exact prompts and specifications for replicating the AssetView POC using another AI model or handing off to a design/development team.</w:t>
      </w:r>
    </w:p>
    <w:p>
      <w:pPr>
        <w:pStyle w:val="Heading2"/>
      </w:pPr>
      <w:r>
        <w:t xml:space="preserve">Step 1: Establish the Data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flat relational tables: PLATFORMS, SYSTEMS, PNIDS, LINES, EQUIPMENT, INSTRUMENTS. Create junction tables: PNID_SYSTEM (with isPrimary boolean), PNID_LINE (with isContinuation boolean). Lines belong to systems (ownership). Lines appear on P&amp;IDs (display). Equipment has nullable lineId (null = standalone).</w:t>
      </w:r>
    </w:p>
    <w:p>
      <w:pPr>
        <w:pStyle w:val="Heading2"/>
      </w:pPr>
      <w:r>
        <w:t xml:space="preserve">Step 2: Build the Miller Column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equal flex columns. Each has a colored header with count badge. Header is clickable to open register view. Items have hover (6% white bg), selected (15% color bg + 3px left border), and cross-reference (65% opacity + owning system color border) states.</w:t>
      </w:r>
    </w:p>
    <w:p>
      <w:pPr>
        <w:pStyle w:val="Heading2"/>
      </w:pPr>
      <w:r>
        <w:t xml:space="preserve">Step 3: Implement Cascade Filtering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useMemo hooks for each column's filtered data. System selection filters all downstream. P&amp;ID selection queries pnid_line junction for lines. Line selection filters equipment and instruments. Each selection is a toggle (click same item deselects). Cross-reference toggle controls whether items from other systems appear.</w:t>
      </w:r>
    </w:p>
    <w:p>
      <w:pPr>
        <w:pStyle w:val="Heading2"/>
      </w:pPr>
      <w:r>
        <w:t xml:space="preserve">Step 4: Implement Register Views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register is a full-width table replacing the Miller columns. Has per-column filter inputs, click-to-sort headers, and row click for detail. Four registers: P&amp;ID Register, Line List, Equipment Register, Instrument Index. 'Back to Columns' returns to Miller view.</w:t>
      </w:r>
    </w:p>
    <w:p>
      <w:pPr>
        <w:pStyle w:val="Heading2"/>
      </w:pPr>
      <w:r>
        <w:t xml:space="preserve">Step 5: Apply the Design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Dark mode default (#0D1F17 background). GeoSoft brand colors. System types have assigned colors: process=green, utility=blue, safety=red, instrument=yellow. Equipment criticality: high=red, medium=yellow, low=green. Status: as_built=green, approved=blue, draft=orange. All badges use 15-20% opacity backgrounds with full-opacity text.</w:t>
      </w:r>
    </w:p>
    <w:p>
      <w:pPr>
        <w:pStyle w:val="Heading2"/>
      </w:pPr>
      <w:r>
        <w:t xml:space="preserve">Step 6: Add P&amp;ID Viewer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P&amp;ID with hasImage=true is selected, show 'Open Viewer' button. Viewer replaces columns with zoomable/pannable canvas showing the P&amp;ID image with SVG annotation overlay. Annotations are positioned as percentage coordinates. 'Back to Columns' returns to Miller.</w:t>
      </w:r>
    </w:p>
    <w:p>
      <w:pPr>
        <w:spacing w:before="400"/>
      </w:pPr>
    </w:p>
    <w:p>
      <w:pPr>
        <w:pBdr>
          <w:left w:val="single" w:color="3BE494" w:sz="12" w:space="8"/>
        </w:pBdr>
        <w:spacing w:after="160"/>
        <w:ind w:left="24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End of AssetView Product Bible v1.0. This document, combined with the v4 standalone HTML file and the P1.1 specification, provides complete information for replicating the product.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E494" w:sz="3" w:space="1"/>
      </w:pBdr>
    </w:pPr>
    <w:r>
      <w:rPr>
        <w:rFonts w:ascii="Arial" w:cs="Arial" w:eastAsia="Arial" w:hAnsi="Arial"/>
        <w:color w:val="999999"/>
        <w:sz w:val="16"/>
        <w:szCs w:val="16"/>
      </w:rPr>
      <w:t xml:space="preserve">GeoSoft AssetView — Product Bible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80"/>
      <w:outlineLvl w:val="0"/>
    </w:pPr>
    <w:rPr>
      <w:rFonts w:ascii="Arial" w:cs="Arial" w:eastAsia="Arial" w:hAnsi="Arial"/>
      <w:b/>
      <w:bCs/>
      <w:color w:val="16352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Arial" w:cs="Arial" w:eastAsia="Arial" w:hAnsi="Arial"/>
      <w:b/>
      <w:bCs/>
      <w:color w:val="17174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2026-03-06T13:54:28.359Z</dcterms:created>
  <dcterms:modified xsi:type="dcterms:W3CDTF">2026-03-06T13:54:28.360Z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