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lang w:val="id-ID"/>
        </w:rPr>
        <w:t xml:space="preserve">RESPON PERTUMBUHAN TANAMAN JAGUNG (ZEA MAYS</w:t>
      </w:r>
      <w:r>
        <w:br/>
      </w:r>
      <w:r>
        <w:rPr>
          <w:lang w:val="id-ID"/>
        </w:rPr>
        <w:t xml:space="preserve">L.) TERHADAP PEMBERIAN PUPUK ORGANIK CAIR</w:t>
      </w:r>
    </w:p>
    <w:p>
      <w:pPr>
        <w:pStyle w:val="CoverCourse"/>
      </w:pPr>
      <w:r>
        <w:rPr>
          <w:b/>
          <w:bCs/>
          <w:lang w:val="id-ID"/>
        </w:rPr>
        <w:t xml:space="preserve">SKRIPSI</w:t>
      </w:r>
    </w:p>
    <w:p>
      <w:pPr>
        <w:pStyle w:val="CoverLecturer"/>
      </w:pPr>
      <w:r>
        <w:rPr>
          <w:lang w:val="id-ID"/>
        </w:rPr>
        <w:t xml:space="preserve">Dosen Pembimbing: </w:t>
      </w:r>
      <w:r>
        <w:rPr>
          <w:b/>
          <w:bCs/>
          <w:lang w:val="id-ID"/>
        </w:rPr>
        <w:t xml:space="preserve">Ir. Nama Dosen Pembimbing, M.P.</w:t>
      </w:r>
    </w:p>
    <w:p>
      <w:pPr>
        <w:spacing w:before="640"/>
      </w:pPr>
    </w:p>
    <w:p>
      <w:pPr>
        <w:pStyle w:val="CoverImage"/>
      </w:pPr>
      <w:r>
        <w:drawing>
          <wp:inline>
            <wp:extent cx="1799999" cy="1799999"/>
            <wp:effectExtent b="0" l="0" r="0" t="0"/>
            <wp:docPr descr="" title="" id="10" name="Picture"/>
            <a:graphic>
              <a:graphicData uri="http://schemas.openxmlformats.org/drawingml/2006/picture">
                <pic:pic>
                  <pic:nvPicPr>
                    <pic:cNvPr descr="logo.jpg" id="11" name="Picture"/>
                    <pic:cNvPicPr>
                      <a:picLocks noChangeArrowheads="1" noChangeAspect="1"/>
                    </pic:cNvPicPr>
                  </pic:nvPicPr>
                  <pic:blipFill>
                    <a:blip r:embed="rId9"/>
                    <a:stretch>
                      <a:fillRect/>
                    </a:stretch>
                  </pic:blipFill>
                  <pic:spPr bwMode="auto">
                    <a:xfrm>
                      <a:off x="0" y="0"/>
                      <a:ext cx="1799999" cy="1799999"/>
                    </a:xfrm>
                    <a:prstGeom prst="rect">
                      <a:avLst/>
                    </a:prstGeom>
                    <a:noFill/>
                    <a:ln w="9525">
                      <a:noFill/>
                      <a:headEnd/>
                      <a:tailEnd/>
                    </a:ln>
                  </pic:spPr>
                </pic:pic>
              </a:graphicData>
            </a:graphic>
          </wp:inline>
        </w:drawing>
      </w:r>
    </w:p>
    <w:p>
      <w:pPr>
        <w:spacing w:before="640"/>
      </w:pPr>
    </w:p>
    <w:p>
      <w:pPr>
        <w:pStyle w:val="CoverLine"/>
      </w:pPr>
      <w:r>
        <w:rPr>
          <w:lang w:val="id-ID"/>
        </w:rPr>
        <w:t xml:space="preserve">Disusun oleh:</w:t>
      </w:r>
    </w:p>
    <w:p>
      <w:pPr>
        <w:pStyle w:val="CoverName"/>
      </w:pPr>
      <w:r>
        <w:rPr>
          <w:b/>
          <w:bCs/>
          <w:lang w:val="id-ID"/>
        </w:rPr>
        <w:t xml:space="preserve">Nama Mahasiswa</w:t>
      </w:r>
    </w:p>
    <w:p>
      <w:pPr>
        <w:pStyle w:val="CoverLine"/>
      </w:pPr>
      <w:r>
        <w:rPr>
          <w:lang w:val="id-ID"/>
        </w:rPr>
        <w:t xml:space="preserve">251510501059</w:t>
      </w:r>
    </w:p>
    <w:p>
      <w:pPr>
        <w:spacing w:before="640"/>
      </w:pPr>
    </w:p>
    <w:p>
      <w:pPr>
        <w:pStyle w:val="CoverInstitution"/>
      </w:pPr>
      <w:r>
        <w:rPr>
          <w:lang w:val="id-ID"/>
        </w:rPr>
        <w:t xml:space="preserve">PROGRAM STUDI AGROTEKNOLOGI</w:t>
      </w:r>
    </w:p>
    <w:p>
      <w:pPr>
        <w:pStyle w:val="CoverInstitution"/>
      </w:pPr>
      <w:r>
        <w:rPr>
          <w:lang w:val="id-ID"/>
        </w:rPr>
        <w:t xml:space="preserve">FAKULTAS PERTANIAN</w:t>
      </w:r>
    </w:p>
    <w:p>
      <w:pPr>
        <w:pStyle w:val="CoverInstitution"/>
      </w:pPr>
      <w:r>
        <w:rPr>
          <w:lang w:val="id-ID"/>
        </w:rPr>
        <w:t xml:space="preserve">UNIVERSITAS JEMBER</w:t>
      </w:r>
    </w:p>
    <w:p>
      <w:pPr>
        <w:pStyle w:val="CoverInstitution"/>
      </w:pPr>
      <w:r>
        <w:rPr>
          <w:lang w:val="id-ID"/>
        </w:rPr>
        <w:t xml:space="preserve">2026</w:t>
      </w:r>
    </w:p>
    <w:p>
      <w:pPr>
        <w:sectPr>
          <w:footnotePr>
            <w:numRestart w:val="eachSect"/>
          </w:footnotePr>
          <w:pgSz w:w="11906" w:h="16838"/>
          <w:pgMar w:top="2268" w:right="1701" w:bottom="1701" w:left="2268" w:header="720" w:footer="720" w:gutter="0"/>
        </w:sectPr>
      </w:pPr>
    </w:p>
    <w:p>
      <w:pPr>
        <w:pStyle w:val="Heading1"/>
      </w:pPr>
      <w:bookmarkStart w:id="12" w:name="_prakata"/>
      <w:r>
        <w:rPr>
          <w:lang w:val="id-ID"/>
        </w:rPr>
        <w:t xml:space="preserve">PRAKATA</w:t>
      </w:r>
      <w:bookmarkEnd w:id="12"/>
    </w:p>
    <w:p>
      <w:pPr>
        <w:pStyle w:val="FirstParagraph"/>
      </w:pPr>
      <w:r>
        <w:rPr>
          <w:lang w:val="id-ID"/>
        </w:rPr>
        <w:t xml:space="preserve">Puji syukur kehadirat Tuhan Yang Maha Esa atas segala rahmat dan karunia-Nya sehingga penulis dapat menyelesaikan karya tulis ilmiah yang berjudul</w:t>
      </w:r>
      <w:r>
        <w:rPr>
          <w:lang w:val="id-ID"/>
        </w:rPr>
        <w:t xml:space="preserve"> </w:t>
      </w:r>
      <w:r>
        <w:rPr>
          <w:b/>
          <w:bCs/>
          <w:lang w:val="id-ID"/>
        </w:rPr>
        <w:t xml:space="preserve">RESPON PERTUMBUHAN TANAMAN JAGUNG (</w:t>
      </w:r>
      <w:r>
        <w:rPr>
          <w:b/>
          <w:bCs/>
          <w:i/>
          <w:iCs/>
          <w:lang w:val="id-ID"/>
        </w:rPr>
        <w:t xml:space="preserve">Zea mays</w:t>
      </w:r>
      <w:r>
        <w:rPr>
          <w:b/>
          <w:bCs/>
          <w:lang w:val="id-ID"/>
        </w:rPr>
        <w:t xml:space="preserve"> </w:t>
      </w:r>
      <w:r>
        <w:rPr>
          <w:b/>
          <w:bCs/>
          <w:lang w:val="id-ID"/>
        </w:rPr>
        <w:t xml:space="preserve">L.) TERHADAP PEMBERIAN PUPUK ORGANIK CAIR</w:t>
      </w:r>
      <w:r>
        <w:rPr>
          <w:lang w:val="id-ID"/>
        </w:rPr>
        <w:t xml:space="preserve"> </w:t>
      </w:r>
      <w:r>
        <w:rPr>
          <w:lang w:val="id-ID"/>
        </w:rPr>
        <w:t xml:space="preserve">dengan baik dan tepat waktu.</w:t>
      </w:r>
    </w:p>
    <w:p>
      <w:pPr>
        <w:pStyle w:val="BodyText"/>
      </w:pPr>
      <w:r>
        <w:rPr>
          <w:lang w:val="id-ID"/>
        </w:rPr>
        <w:t xml:space="preserve">Karya tulis ilmiah ini disusun untuk memenuhi salah satu persyaratan menyelesaikan pendidikan pada Program Studi Agroteknologi, Fakultas Pertanian, Universitas Jember. Pada kesempatan ini penulis menyampaikan terima kasih kepada:</w:t>
      </w:r>
    </w:p>
    <w:p>
      <w:pPr>
        <w:pStyle w:val="Compact"/>
        <w:numPr>
          <w:ilvl w:val="0"/>
          <w:numId w:val="1001"/>
        </w:numPr>
      </w:pPr>
      <w:r>
        <w:rPr>
          <w:lang w:val="id-ID"/>
        </w:rPr>
        <w:t xml:space="preserve">Ir. Nama Dosen Pembimbing, M.P., selaku dosen pembimbing yang telah memberikan bimbingan dan arahan pada penyusunan karya tulis ilmiah ini.</w:t>
      </w:r>
    </w:p>
    <w:p>
      <w:pPr>
        <w:pStyle w:val="Compact"/>
        <w:numPr>
          <w:ilvl w:val="0"/>
          <w:numId w:val="1001"/>
        </w:numPr>
      </w:pPr>
      <w:r>
        <w:rPr>
          <w:lang w:val="id-ID"/>
        </w:rPr>
        <w:t xml:space="preserve">Seluruh pihak yang telah membantu kelancaran penulisan karya tulis ilmiah ini.</w:t>
      </w:r>
    </w:p>
    <w:p>
      <w:pPr>
        <w:pStyle w:val="FirstParagraph"/>
      </w:pPr>
      <w:r>
        <w:rPr>
          <w:lang w:val="id-ID"/>
        </w:rPr>
        <w:t xml:space="preserve">Penulis menyadari bahwa karya tulis ilmiah ini masih memiliki kekurangan. Oleh karena itu, kritik dan saran yang membangun sangat diharapkan demi perbaikan di masa mendatang. Semoga karya tulis ilmiah ini dapat memberikan manfaat bagi pembaca.</w:t>
      </w:r>
    </w:p>
    <w:p>
      <w:pPr>
        <w:jc w:val="right"/>
        <w:spacing w:before="454"/>
      </w:pPr>
      <w:r>
        <w:t>Jember, Juni 2026</w:t>
      </w:r>
    </w:p>
    <w:p>
      <w:pPr>
        <w:jc w:val="right"/>
        <w:spacing w:before="567"/>
      </w:pPr>
      <w:r>
        <w:t>Penulis</w:t>
      </w:r>
    </w:p>
    <w:p>
      <w:r>
        <w:br w:type="page"/>
      </w:r>
    </w:p>
    <w:p>
      <w:pPr>
        <w:pStyle w:val="TOCHeading"/>
        <w:jc w:val="center"/>
        <w:outlineLvl w:val="9"/>
      </w:pPr>
      <w:r>
        <w:rPr>
          <w:b/>
          <w:sz w:val="28"/>
          <w:szCs w:val="28"/>
        </w:rPr>
        <w:t>DAFTAR ISI</w:t>
      </w:r>
    </w:p>
    <w:p>
      <w:pPr>
        <w:pStyle w:val="TOC1"/>
      </w:pPr>
      <w:r>
        <w:fldChar w:fldCharType="begin" w:dirty="true"/>
      </w:r>
      <w:r>
        <w:instrText xml:space="preserve"> TOC \o "1-3" \h \z \u </w:instrText>
      </w:r>
      <w:r>
        <w:fldChar w:fldCharType="separate"/>
      </w:r>
    </w:p>
    <w:p>
      <w:pPr>
        <w:pStyle w:val="TOC1"/>
        <w:spacing w:before="120" w:after="40" w:line="260" w:lineRule="auto"/>
        <w:tabs>
          <w:tab w:val="right" w:leader="dot" w:pos="7937"/>
        </w:tabs>
        <w:ind w:left="0" w:right="0"/>
      </w:pPr>
      <w:hyperlink w:anchor="prakata" w:history="1">
        <w:r>
          <w:rPr>
            <w:b/>
          </w:rPr>
          <w:t xml:space="preserve">PRAKATA</w:t>
        </w:r>
      </w:hyperlink>
      <w:r>
        <w:tab/>
      </w:r>
      <w:r>
        <w:fldChar w:fldCharType="begin" w:dirty="true"/>
      </w:r>
      <w:r>
        <w:instrText xml:space="preserve"> PAGEREF prakata \h </w:instrText>
      </w:r>
      <w:r>
        <w:fldChar w:fldCharType="separate"/>
      </w:r>
      <w:r>
        <w:t>0</w:t>
      </w:r>
      <w:r>
        <w:fldChar w:fldCharType="end"/>
      </w:r>
    </w:p>
    <w:p>
      <w:pPr>
        <w:pStyle w:val="TOC1"/>
        <w:spacing w:before="120" w:after="40" w:line="260" w:lineRule="auto"/>
        <w:tabs>
          <w:tab w:val="right" w:leader="dot" w:pos="7937"/>
        </w:tabs>
        <w:ind w:left="0" w:right="0"/>
      </w:pPr>
      <w:hyperlink w:anchor="pendahuluan" w:history="1">
        <w:r>
          <w:rPr>
            <w:b/>
          </w:rPr>
          <w:t xml:space="preserve">BAB 1. PENDAHULUAN</w:t>
        </w:r>
      </w:hyperlink>
      <w:r>
        <w:tab/>
      </w:r>
      <w:r>
        <w:fldChar w:fldCharType="begin" w:dirty="true"/>
      </w:r>
      <w:r>
        <w:instrText xml:space="preserve"> PAGEREF pendahuluan \h </w:instrText>
      </w:r>
      <w:r>
        <w:fldChar w:fldCharType="separate"/>
      </w:r>
      <w:r>
        <w:t>0</w:t>
      </w:r>
      <w:r>
        <w:fldChar w:fldCharType="end"/>
      </w:r>
    </w:p>
    <w:p>
      <w:pPr>
        <w:pStyle w:val="TOC2"/>
        <w:spacing w:before="20" w:after="20" w:line="240" w:lineRule="auto"/>
        <w:tabs>
          <w:tab w:val="right" w:leader="dot" w:pos="7937"/>
        </w:tabs>
        <w:ind w:left="360" w:right="0"/>
      </w:pPr>
      <w:hyperlink w:anchor="latar-belakang" w:history="1">
        <w:r>
          <w:t xml:space="preserve">1.1. Latar Belakang</w:t>
        </w:r>
      </w:hyperlink>
      <w:r>
        <w:tab/>
      </w:r>
      <w:r>
        <w:fldChar w:fldCharType="begin" w:dirty="true"/>
      </w:r>
      <w:r>
        <w:instrText xml:space="preserve"> PAGEREF latar-belakang \h </w:instrText>
      </w:r>
      <w:r>
        <w:fldChar w:fldCharType="separate"/>
      </w:r>
      <w:r>
        <w:t>0</w:t>
      </w:r>
      <w:r>
        <w:fldChar w:fldCharType="end"/>
      </w:r>
    </w:p>
    <w:p>
      <w:pPr>
        <w:pStyle w:val="TOC2"/>
        <w:spacing w:before="20" w:after="20" w:line="240" w:lineRule="auto"/>
        <w:tabs>
          <w:tab w:val="right" w:leader="dot" w:pos="7937"/>
        </w:tabs>
        <w:ind w:left="360" w:right="0"/>
      </w:pPr>
      <w:hyperlink w:anchor="tujuan-praktikum" w:history="1">
        <w:r>
          <w:t xml:space="preserve">1.2. Tujuan Praktikum</w:t>
        </w:r>
      </w:hyperlink>
      <w:r>
        <w:tab/>
      </w:r>
      <w:r>
        <w:fldChar w:fldCharType="begin" w:dirty="true"/>
      </w:r>
      <w:r>
        <w:instrText xml:space="preserve"> PAGEREF tujuan-praktikum \h </w:instrText>
      </w:r>
      <w:r>
        <w:fldChar w:fldCharType="separate"/>
      </w:r>
      <w:r>
        <w:t>0</w:t>
      </w:r>
      <w:r>
        <w:fldChar w:fldCharType="end"/>
      </w:r>
    </w:p>
    <w:p>
      <w:pPr>
        <w:pStyle w:val="TOC2"/>
        <w:spacing w:before="20" w:after="20" w:line="240" w:lineRule="auto"/>
        <w:tabs>
          <w:tab w:val="right" w:leader="dot" w:pos="7937"/>
        </w:tabs>
        <w:ind w:left="360" w:right="0"/>
      </w:pPr>
      <w:hyperlink w:anchor="manfaat-praktikum" w:history="1">
        <w:r>
          <w:t xml:space="preserve">1.3. Manfaat Praktikum</w:t>
        </w:r>
      </w:hyperlink>
      <w:r>
        <w:tab/>
      </w:r>
      <w:r>
        <w:fldChar w:fldCharType="begin" w:dirty="true"/>
      </w:r>
      <w:r>
        <w:instrText xml:space="preserve"> PAGEREF manfaat-praktikum \h </w:instrText>
      </w:r>
      <w:r>
        <w:fldChar w:fldCharType="separate"/>
      </w:r>
      <w:r>
        <w:t>0</w:t>
      </w:r>
      <w:r>
        <w:fldChar w:fldCharType="end"/>
      </w:r>
    </w:p>
    <w:p>
      <w:pPr>
        <w:pStyle w:val="TOC1"/>
        <w:spacing w:before="120" w:after="40" w:line="260" w:lineRule="auto"/>
        <w:tabs>
          <w:tab w:val="right" w:leader="dot" w:pos="7937"/>
        </w:tabs>
        <w:ind w:left="0" w:right="0"/>
      </w:pPr>
      <w:hyperlink w:anchor="tinjauan-pustaka" w:history="1">
        <w:r>
          <w:rPr>
            <w:b/>
          </w:rPr>
          <w:t xml:space="preserve">BAB 2. TINJAUAN PUSTAKA</w:t>
        </w:r>
      </w:hyperlink>
      <w:r>
        <w:tab/>
      </w:r>
      <w:r>
        <w:fldChar w:fldCharType="begin" w:dirty="true"/>
      </w:r>
      <w:r>
        <w:instrText xml:space="preserve"> PAGEREF tinjauan-pustaka \h </w:instrText>
      </w:r>
      <w:r>
        <w:fldChar w:fldCharType="separate"/>
      </w:r>
      <w:r>
        <w:t>0</w:t>
      </w:r>
      <w:r>
        <w:fldChar w:fldCharType="end"/>
      </w:r>
    </w:p>
    <w:p>
      <w:pPr>
        <w:pStyle w:val="TOC2"/>
        <w:spacing w:before="20" w:after="20" w:line="240" w:lineRule="auto"/>
        <w:tabs>
          <w:tab w:val="right" w:leader="dot" w:pos="7937"/>
        </w:tabs>
        <w:ind w:left="360" w:right="0"/>
      </w:pPr>
      <w:hyperlink w:anchor="landasan-teori" w:history="1">
        <w:r>
          <w:t xml:space="preserve">2.1. Landasan Teori</w:t>
        </w:r>
      </w:hyperlink>
      <w:r>
        <w:tab/>
      </w:r>
      <w:r>
        <w:fldChar w:fldCharType="begin" w:dirty="true"/>
      </w:r>
      <w:r>
        <w:instrText xml:space="preserve"> PAGEREF landasan-teori \h </w:instrText>
      </w:r>
      <w:r>
        <w:fldChar w:fldCharType="separate"/>
      </w:r>
      <w:r>
        <w:t>0</w:t>
      </w:r>
      <w:r>
        <w:fldChar w:fldCharType="end"/>
      </w:r>
    </w:p>
    <w:p>
      <w:pPr>
        <w:pStyle w:val="TOC2"/>
        <w:spacing w:before="20" w:after="20" w:line="240" w:lineRule="auto"/>
        <w:tabs>
          <w:tab w:val="right" w:leader="dot" w:pos="7937"/>
        </w:tabs>
        <w:ind w:left="360" w:right="0"/>
      </w:pPr>
      <w:hyperlink w:anchor="hubungan-teori-dengan-praktikum" w:history="1">
        <w:r>
          <w:t xml:space="preserve">2.2. Hubungan Teori dengan Praktikum</w:t>
        </w:r>
      </w:hyperlink>
      <w:r>
        <w:tab/>
      </w:r>
      <w:r>
        <w:fldChar w:fldCharType="begin" w:dirty="true"/>
      </w:r>
      <w:r>
        <w:instrText xml:space="preserve"> PAGEREF hubungan-teori-dengan-praktikum \h </w:instrText>
      </w:r>
      <w:r>
        <w:fldChar w:fldCharType="separate"/>
      </w:r>
      <w:r>
        <w:t>0</w:t>
      </w:r>
      <w:r>
        <w:fldChar w:fldCharType="end"/>
      </w:r>
    </w:p>
    <w:p>
      <w:pPr>
        <w:pStyle w:val="TOC1"/>
        <w:spacing w:before="120" w:after="40" w:line="260" w:lineRule="auto"/>
        <w:tabs>
          <w:tab w:val="right" w:leader="dot" w:pos="7937"/>
        </w:tabs>
        <w:ind w:left="0" w:right="0"/>
      </w:pPr>
      <w:hyperlink w:anchor="metode-praktikum" w:history="1">
        <w:r>
          <w:rPr>
            <w:b/>
          </w:rPr>
          <w:t xml:space="preserve">BAB 3. METODE PRAKTIKUM</w:t>
        </w:r>
      </w:hyperlink>
      <w:r>
        <w:tab/>
      </w:r>
      <w:r>
        <w:fldChar w:fldCharType="begin" w:dirty="true"/>
      </w:r>
      <w:r>
        <w:instrText xml:space="preserve"> PAGEREF metode-praktikum \h </w:instrText>
      </w:r>
      <w:r>
        <w:fldChar w:fldCharType="separate"/>
      </w:r>
      <w:r>
        <w:t>0</w:t>
      </w:r>
      <w:r>
        <w:fldChar w:fldCharType="end"/>
      </w:r>
    </w:p>
    <w:p>
      <w:pPr>
        <w:pStyle w:val="TOC2"/>
        <w:spacing w:before="20" w:after="20" w:line="240" w:lineRule="auto"/>
        <w:tabs>
          <w:tab w:val="right" w:leader="dot" w:pos="7937"/>
        </w:tabs>
        <w:ind w:left="360" w:right="0"/>
      </w:pPr>
      <w:hyperlink w:anchor="waktu-dan-tempat" w:history="1">
        <w:r>
          <w:t xml:space="preserve">3.1. Waktu dan Tempat</w:t>
        </w:r>
      </w:hyperlink>
      <w:r>
        <w:tab/>
      </w:r>
      <w:r>
        <w:fldChar w:fldCharType="begin" w:dirty="true"/>
      </w:r>
      <w:r>
        <w:instrText xml:space="preserve"> PAGEREF waktu-dan-tempat \h </w:instrText>
      </w:r>
      <w:r>
        <w:fldChar w:fldCharType="separate"/>
      </w:r>
      <w:r>
        <w:t>0</w:t>
      </w:r>
      <w:r>
        <w:fldChar w:fldCharType="end"/>
      </w:r>
    </w:p>
    <w:p>
      <w:pPr>
        <w:pStyle w:val="TOC2"/>
        <w:spacing w:before="20" w:after="20" w:line="240" w:lineRule="auto"/>
        <w:tabs>
          <w:tab w:val="right" w:leader="dot" w:pos="7937"/>
        </w:tabs>
        <w:ind w:left="360" w:right="0"/>
      </w:pPr>
      <w:hyperlink w:anchor="alat-dan-bahan" w:history="1">
        <w:r>
          <w:t xml:space="preserve">3.2. Alat dan Bahan</w:t>
        </w:r>
      </w:hyperlink>
      <w:r>
        <w:tab/>
      </w:r>
      <w:r>
        <w:fldChar w:fldCharType="begin" w:dirty="true"/>
      </w:r>
      <w:r>
        <w:instrText xml:space="preserve"> PAGEREF alat-dan-bahan \h </w:instrText>
      </w:r>
      <w:r>
        <w:fldChar w:fldCharType="separate"/>
      </w:r>
      <w:r>
        <w:t>0</w:t>
      </w:r>
      <w:r>
        <w:fldChar w:fldCharType="end"/>
      </w:r>
    </w:p>
    <w:p>
      <w:pPr>
        <w:pStyle w:val="TOC2"/>
        <w:spacing w:before="20" w:after="20" w:line="240" w:lineRule="auto"/>
        <w:tabs>
          <w:tab w:val="right" w:leader="dot" w:pos="7937"/>
        </w:tabs>
        <w:ind w:left="360" w:right="0"/>
      </w:pPr>
      <w:hyperlink w:anchor="prosedur-kerja" w:history="1">
        <w:r>
          <w:t xml:space="preserve">3.3. Prosedur Kerja</w:t>
        </w:r>
      </w:hyperlink>
      <w:r>
        <w:tab/>
      </w:r>
      <w:r>
        <w:fldChar w:fldCharType="begin" w:dirty="true"/>
      </w:r>
      <w:r>
        <w:instrText xml:space="preserve"> PAGEREF prosedur-kerja \h </w:instrText>
      </w:r>
      <w:r>
        <w:fldChar w:fldCharType="separate"/>
      </w:r>
      <w:r>
        <w:t>0</w:t>
      </w:r>
      <w:r>
        <w:fldChar w:fldCharType="end"/>
      </w:r>
    </w:p>
    <w:p>
      <w:pPr>
        <w:pStyle w:val="TOC2"/>
        <w:spacing w:before="20" w:after="20" w:line="240" w:lineRule="auto"/>
        <w:tabs>
          <w:tab w:val="right" w:leader="dot" w:pos="7937"/>
        </w:tabs>
        <w:ind w:left="360" w:right="0"/>
      </w:pPr>
      <w:hyperlink w:anchor="variabel-yang-diamati" w:history="1">
        <w:r>
          <w:t xml:space="preserve">3.4. Variabel yang Diamati</w:t>
        </w:r>
      </w:hyperlink>
      <w:r>
        <w:tab/>
      </w:r>
      <w:r>
        <w:fldChar w:fldCharType="begin" w:dirty="true"/>
      </w:r>
      <w:r>
        <w:instrText xml:space="preserve"> PAGEREF variabel-yang-diamati \h </w:instrText>
      </w:r>
      <w:r>
        <w:fldChar w:fldCharType="separate"/>
      </w:r>
      <w:r>
        <w:t>0</w:t>
      </w:r>
      <w:r>
        <w:fldChar w:fldCharType="end"/>
      </w:r>
    </w:p>
    <w:p>
      <w:pPr>
        <w:pStyle w:val="TOC1"/>
        <w:spacing w:before="120" w:after="40" w:line="260" w:lineRule="auto"/>
        <w:tabs>
          <w:tab w:val="right" w:leader="dot" w:pos="7937"/>
        </w:tabs>
        <w:ind w:left="0" w:right="0"/>
      </w:pPr>
      <w:hyperlink w:anchor="hasil-dan-pembahasan" w:history="1">
        <w:r>
          <w:rPr>
            <w:b/>
          </w:rPr>
          <w:t xml:space="preserve">BAB 4. HASIL DAN PEMBAHASAN</w:t>
        </w:r>
      </w:hyperlink>
      <w:r>
        <w:tab/>
      </w:r>
      <w:r>
        <w:fldChar w:fldCharType="begin" w:dirty="true"/>
      </w:r>
      <w:r>
        <w:instrText xml:space="preserve"> PAGEREF hasil-dan-pembahasan \h </w:instrText>
      </w:r>
      <w:r>
        <w:fldChar w:fldCharType="separate"/>
      </w:r>
      <w:r>
        <w:t>0</w:t>
      </w:r>
      <w:r>
        <w:fldChar w:fldCharType="end"/>
      </w:r>
    </w:p>
    <w:p>
      <w:pPr>
        <w:pStyle w:val="TOC2"/>
        <w:spacing w:before="20" w:after="20" w:line="240" w:lineRule="auto"/>
        <w:tabs>
          <w:tab w:val="right" w:leader="dot" w:pos="7937"/>
        </w:tabs>
        <w:ind w:left="360" w:right="0"/>
      </w:pPr>
      <w:hyperlink w:anchor="hasil-pengamatan" w:history="1">
        <w:r>
          <w:t xml:space="preserve">4.1. Hasil Pengamatan</w:t>
        </w:r>
      </w:hyperlink>
      <w:r>
        <w:tab/>
      </w:r>
      <w:r>
        <w:fldChar w:fldCharType="begin" w:dirty="true"/>
      </w:r>
      <w:r>
        <w:instrText xml:space="preserve"> PAGEREF hasil-pengamatan \h </w:instrText>
      </w:r>
      <w:r>
        <w:fldChar w:fldCharType="separate"/>
      </w:r>
      <w:r>
        <w:t>0</w:t>
      </w:r>
      <w:r>
        <w:fldChar w:fldCharType="end"/>
      </w:r>
    </w:p>
    <w:p>
      <w:pPr>
        <w:pStyle w:val="TOC2"/>
        <w:spacing w:before="20" w:after="20" w:line="240" w:lineRule="auto"/>
        <w:tabs>
          <w:tab w:val="right" w:leader="dot" w:pos="7937"/>
        </w:tabs>
        <w:ind w:left="360" w:right="0"/>
      </w:pPr>
      <w:hyperlink w:anchor="pembahasan" w:history="1">
        <w:r>
          <w:t xml:space="preserve">4.2. Pembahasan</w:t>
        </w:r>
      </w:hyperlink>
      <w:r>
        <w:tab/>
      </w:r>
      <w:r>
        <w:fldChar w:fldCharType="begin" w:dirty="true"/>
      </w:r>
      <w:r>
        <w:instrText xml:space="preserve"> PAGEREF pembahasan \h </w:instrText>
      </w:r>
      <w:r>
        <w:fldChar w:fldCharType="separate"/>
      </w:r>
      <w:r>
        <w:t>0</w:t>
      </w:r>
      <w:r>
        <w:fldChar w:fldCharType="end"/>
      </w:r>
    </w:p>
    <w:p>
      <w:pPr>
        <w:pStyle w:val="TOC1"/>
        <w:spacing w:before="120" w:after="40" w:line="260" w:lineRule="auto"/>
        <w:tabs>
          <w:tab w:val="right" w:leader="dot" w:pos="7937"/>
        </w:tabs>
        <w:ind w:left="0" w:right="0"/>
      </w:pPr>
      <w:hyperlink w:anchor="penutup" w:history="1">
        <w:r>
          <w:rPr>
            <w:b/>
          </w:rPr>
          <w:t xml:space="preserve">BAB 5. PENUTUP</w:t>
        </w:r>
      </w:hyperlink>
      <w:r>
        <w:tab/>
      </w:r>
      <w:r>
        <w:fldChar w:fldCharType="begin" w:dirty="true"/>
      </w:r>
      <w:r>
        <w:instrText xml:space="preserve"> PAGEREF penutup \h </w:instrText>
      </w:r>
      <w:r>
        <w:fldChar w:fldCharType="separate"/>
      </w:r>
      <w:r>
        <w:t>0</w:t>
      </w:r>
      <w:r>
        <w:fldChar w:fldCharType="end"/>
      </w:r>
    </w:p>
    <w:p>
      <w:pPr>
        <w:pStyle w:val="TOC2"/>
        <w:spacing w:before="20" w:after="20" w:line="240" w:lineRule="auto"/>
        <w:tabs>
          <w:tab w:val="right" w:leader="dot" w:pos="7937"/>
        </w:tabs>
        <w:ind w:left="360" w:right="0"/>
      </w:pPr>
      <w:hyperlink w:anchor="kesimpulan" w:history="1">
        <w:r>
          <w:t xml:space="preserve">5.1. Kesimpulan</w:t>
        </w:r>
      </w:hyperlink>
      <w:r>
        <w:tab/>
      </w:r>
      <w:r>
        <w:fldChar w:fldCharType="begin" w:dirty="true"/>
      </w:r>
      <w:r>
        <w:instrText xml:space="preserve"> PAGEREF kesimpulan \h </w:instrText>
      </w:r>
      <w:r>
        <w:fldChar w:fldCharType="separate"/>
      </w:r>
      <w:r>
        <w:t>0</w:t>
      </w:r>
      <w:r>
        <w:fldChar w:fldCharType="end"/>
      </w:r>
    </w:p>
    <w:p>
      <w:pPr>
        <w:pStyle w:val="TOC2"/>
        <w:spacing w:before="20" w:after="20" w:line="240" w:lineRule="auto"/>
        <w:tabs>
          <w:tab w:val="right" w:leader="dot" w:pos="7937"/>
        </w:tabs>
        <w:ind w:left="360" w:right="0"/>
      </w:pPr>
      <w:hyperlink w:anchor="saran" w:history="1">
        <w:r>
          <w:t xml:space="preserve">5.2. Saran</w:t>
        </w:r>
      </w:hyperlink>
      <w:r>
        <w:tab/>
      </w:r>
      <w:r>
        <w:fldChar w:fldCharType="begin" w:dirty="true"/>
      </w:r>
      <w:r>
        <w:instrText xml:space="preserve"> PAGEREF saran \h </w:instrText>
      </w:r>
      <w:r>
        <w:fldChar w:fldCharType="separate"/>
      </w:r>
      <w:r>
        <w:t>0</w:t>
      </w:r>
      <w:r>
        <w:fldChar w:fldCharType="end"/>
      </w:r>
    </w:p>
    <w:p>
      <w:pPr>
        <w:pStyle w:val="TOC1"/>
        <w:spacing w:before="120" w:after="40" w:line="260" w:lineRule="auto"/>
        <w:tabs>
          <w:tab w:val="right" w:leader="dot" w:pos="7937"/>
        </w:tabs>
        <w:ind w:left="0" w:right="0"/>
      </w:pPr>
      <w:hyperlink w:anchor="bibliography" w:history="1">
        <w:r>
          <w:rPr>
            <w:b/>
          </w:rPr>
          <w:t xml:space="preserve">DAFTAR PUSTAKA</w:t>
        </w:r>
      </w:hyperlink>
      <w:r>
        <w:tab/>
      </w:r>
      <w:r>
        <w:fldChar w:fldCharType="begin" w:dirty="true"/>
      </w:r>
      <w:r>
        <w:instrText xml:space="preserve"> PAGEREF bibliography \h </w:instrText>
      </w:r>
      <w:r>
        <w:fldChar w:fldCharType="separate"/>
      </w:r>
      <w:r>
        <w:t>0</w:t>
      </w:r>
      <w:r>
        <w:fldChar w:fldCharType="end"/>
      </w:r>
    </w:p>
    <w:p>
      <w:pPr>
        <w:pStyle w:val="TOC1"/>
      </w:pPr>
      <w:r>
        <w:fldChar w:fldCharType="end"/>
      </w:r>
    </w:p>
    <w:p>
      <w:pPr>
        <w:sectPr>
          <w:footerReference r:id="rIdF1" w:type="default"/>
          <w:footnotePr>
            <w:numRestart w:val="eachSect"/>
          </w:footnotePr>
          <w:pgSz w:w="11906" w:h="16838"/>
          <w:pgMar w:top="1134" w:right="1417" w:bottom="1701" w:left="1417" w:header="720" w:footer="720" w:gutter="0"/>
          <w:pgNumType w:fmt="lowerRoman" w:start="1"/>
        </w:sectPr>
      </w:pPr>
    </w:p>
    <w:p>
      <w:pPr>
        <w:pStyle w:val="Heading1"/>
      </w:pPr>
      <w:bookmarkStart w:id="13" w:name="_pendahuluan"/>
      <w:r>
        <w:rPr>
          <w:lang w:val="id-ID"/>
        </w:rPr>
        <w:t xml:space="preserve">BAB 1.</w:t>
      </w:r>
      <w:r>
        <w:br/>
      </w:r>
      <w:r>
        <w:rPr>
          <w:lang w:val="id-ID"/>
        </w:rPr>
        <w:t xml:space="preserve">PENDAHULUAN</w:t>
      </w:r>
      <w:bookmarkEnd w:id="13"/>
    </w:p>
    <w:p>
      <w:pPr>
        <w:pStyle w:val="Heading2"/>
      </w:pPr>
      <w:bookmarkStart w:id="14" w:name="_8a6d664ecdef588b90aa089e0bcc7be31acc946"/>
      <w:r>
        <w:rPr>
          <w:lang w:val="id-ID"/>
        </w:rPr>
        <w:t xml:space="preserve">1.1. Latar Belakang</w:t>
      </w:r>
      <w:bookmarkEnd w:id="14"/>
    </w:p>
    <w:p>
      <w:pPr>
        <w:pStyle w:val="FirstParagraph"/>
      </w:pPr>
      <w:r>
        <w:rPr>
          <w:lang w:val="id-ID"/>
        </w:rPr>
        <w:t xml:space="preserve">Jagung (Zea mays L.) merupakan tanaman serealia yang dibudidayakan luas sebagai sumber pangan maupun pakan. Pertumbuhannya tergolong responsif terhadap pemupukan karena kebutuhan hara, terutama nitrogen, cukup tinggi pada fase vegetatif. Ketersediaan hara yang memadai pada fase tersebut menentukan pembentukan akar, batang, dan daun yang nantinya menopang pengisian biji, sehingga pengelolaan pemupukan menjadi titik kritis dalam budidaya jagung.</w:t>
      </w:r>
    </w:p>
    <w:p>
      <w:pPr>
        <w:pStyle w:val="BodyText"/>
      </w:pPr>
      <w:r>
        <w:rPr>
          <w:lang w:val="id-ID"/>
        </w:rPr>
        <w:t xml:space="preserve">Selama ini pemupukan lebih banyak bertumpu pada pupuk anorganik karena haranya tersedia cepat dan dalam konsentrasi tinggi. Namun, ketergantungan yang berlangsung lama tanpa diimbangi masukan bahan organik dapat menurunkan kadar bahan organik tanah, yang berdampak pada memburuknya sifat fisik, kimia, dan biologi tanah</w:t>
      </w:r>
      <w:r>
        <w:rPr>
          <w:lang w:val="id-ID"/>
        </w:rPr>
        <w:t xml:space="preserve"> </w:t>
      </w:r>
      <w:r>
        <w:rPr>
          <w:lang w:val="id-ID"/>
        </w:rPr>
        <w:t xml:space="preserve">(Hardjowigeno, 2010; Soepardi, 1983)</w:t>
      </w:r>
      <w:r>
        <w:rPr>
          <w:lang w:val="id-ID"/>
        </w:rPr>
        <w:t xml:space="preserve">. Bahan organik berperan dalam memantapkan agregat tanah, memperbaiki daya menahan air, dan menyediakan hara secara bertahap, sehingga penurunannya turut menurunkan produktivitas lahan.</w:t>
      </w:r>
    </w:p>
    <w:p>
      <w:pPr>
        <w:pStyle w:val="BodyText"/>
      </w:pPr>
      <w:r>
        <w:rPr>
          <w:lang w:val="id-ID"/>
        </w:rPr>
        <w:t xml:space="preserve">Pupuk organik cair (POC) merupakan larutan hasil penguraian bahan organik yang mengandung hara makro dan mikro dalam bentuk yang tersedia bagi tanaman. Berbeda dengan pupuk anorganik, POC bekerja secara bertahap: selain menyuplai hara, aplikasinya juga memperbaiki sifat fisik, kimia, dan biologi tanah. Selama proses fermentasi bahan organik terbentuk zat pengatur tumbuh alami seperti auksin dan giberelin, yang berperan dalam pemanjangan sel pada titik tumbuh serta pembentukan batang dan daun</w:t>
      </w:r>
      <w:r>
        <w:rPr>
          <w:lang w:val="id-ID"/>
        </w:rPr>
        <w:t xml:space="preserve"> </w:t>
      </w:r>
      <w:r>
        <w:rPr>
          <w:lang w:val="id-ID"/>
        </w:rPr>
        <w:t xml:space="preserve">(Gardner dkk., 1985; Salisbury &amp; Ross, 1995)</w:t>
      </w:r>
      <w:r>
        <w:rPr>
          <w:lang w:val="id-ID"/>
        </w:rPr>
        <w:t xml:space="preserve">. Meskipun demikian, kandungan hara POC umumnya lebih rendah daripada pupuk anorganik, sehingga POC lebih tepat diposisikan sebagai pelengkap pemupukan dan bukan pengganti penuh.</w:t>
      </w:r>
    </w:p>
    <w:p>
      <w:pPr>
        <w:pStyle w:val="BodyText"/>
      </w:pPr>
      <w:r>
        <w:rPr>
          <w:lang w:val="id-ID"/>
        </w:rPr>
        <w:t xml:space="preserve">Kualitas POC sangat bergantung pada bahan baku, lama fermentasi, dan mikroba yang bekerja, sehingga kandungan hara antar-batch produksi rumah tangga sering tidak seragam. Ketidakseragaman ini membuat konsentrasi aplikasi perlu diuji terlebih dahulu; larutan yang terlalu pekat berisiko membakar daun, sedangkan konsentrasi terlalu rendah tidak memberi pengaruh yang berarti. Oleh karena itu, praktikum mengenai respon pertumbuhan jagung terhadap beberapa tingkat konsentrasi POC perlu dilakukan, dengan indikator pengamatan berupa tinggi tanaman, jumlah daun, diameter batang, panjang akar, dan bobot kering tajuk.</w:t>
      </w:r>
    </w:p>
    <w:p>
      <w:pPr>
        <w:pStyle w:val="Heading2"/>
      </w:pPr>
      <w:bookmarkStart w:id="15" w:name="_855aa2fd5ba4425f62ff730cb69166b01fdfe5e"/>
      <w:r>
        <w:rPr>
          <w:lang w:val="id-ID"/>
        </w:rPr>
        <w:t xml:space="preserve">1.2. Tujuan Praktikum</w:t>
      </w:r>
      <w:bookmarkEnd w:id="15"/>
    </w:p>
    <w:p>
      <w:pPr>
        <w:pStyle w:val="Compact"/>
        <w:numPr>
          <w:ilvl w:val="0"/>
          <w:numId w:val="1002"/>
        </w:numPr>
      </w:pPr>
      <w:r>
        <w:rPr>
          <w:lang w:val="id-ID"/>
        </w:rPr>
        <w:t xml:space="preserve">Mengamati pengaruh pemberian pupuk organik cair terhadap pertumbuhan vegetatif tanaman jagung (Zea mays L.).</w:t>
      </w:r>
    </w:p>
    <w:p>
      <w:pPr>
        <w:pStyle w:val="Compact"/>
        <w:numPr>
          <w:ilvl w:val="0"/>
          <w:numId w:val="1002"/>
        </w:numPr>
      </w:pPr>
      <w:r>
        <w:rPr>
          <w:lang w:val="id-ID"/>
        </w:rPr>
        <w:t xml:space="preserve">Membandingkan pertumbuhan tanaman jagung pada beberapa tingkat konsentrasi POC, yaitu 0, 10, 20, dan 30 ml per liter air, termasuk perlakuan kontrol tanpa POC.</w:t>
      </w:r>
    </w:p>
    <w:p>
      <w:pPr>
        <w:pStyle w:val="Compact"/>
        <w:numPr>
          <w:ilvl w:val="0"/>
          <w:numId w:val="1002"/>
        </w:numPr>
      </w:pPr>
      <w:r>
        <w:rPr>
          <w:lang w:val="id-ID"/>
        </w:rPr>
        <w:t xml:space="preserve">Menentukan konsentrasi POC yang memberikan pertumbuhan vegetatif terbaik berdasarkan data pengamatan tinggi tanaman, jumlah daun, diameter batang, panjang akar, dan bobot kering tajuk.</w:t>
      </w:r>
    </w:p>
    <w:p>
      <w:pPr>
        <w:pStyle w:val="Compact"/>
        <w:numPr>
          <w:ilvl w:val="0"/>
          <w:numId w:val="1002"/>
        </w:numPr>
      </w:pPr>
      <w:r>
        <w:rPr>
          <w:lang w:val="id-ID"/>
        </w:rPr>
        <w:t xml:space="preserve">Melatih keterampilan pengamatan, pencatatan data, serta analisis data percobaan secara statistik untuk menarik kesimpulan yang dapat dipertanggungjawabkan.</w:t>
      </w:r>
    </w:p>
    <w:p>
      <w:pPr>
        <w:pStyle w:val="Heading2"/>
      </w:pPr>
      <w:bookmarkStart w:id="16" w:name="_5bb910a4df70e66c71449756e0dcb1a850ed660"/>
      <w:r>
        <w:rPr>
          <w:lang w:val="id-ID"/>
        </w:rPr>
        <w:t xml:space="preserve">1.3. Manfaat Praktikum</w:t>
      </w:r>
      <w:bookmarkEnd w:id="16"/>
    </w:p>
    <w:p>
      <w:pPr>
        <w:pStyle w:val="FirstParagraph"/>
      </w:pPr>
      <w:r>
        <w:rPr>
          <w:lang w:val="id-ID"/>
        </w:rPr>
        <w:t xml:space="preserve">Bagi mahasiswa, praktikum ini memberikan pengalaman langsung dalam menyiapkan dan mengaplikasikan POC, mengukur variabel pertumbuhan vegetatif secara terukur, serta menafsirkan data pengamatan dengan uji statistik. Kegiatan ini juga melatih ketelitian dalam pencatatan data dan kehati-hatian dalam menarik kesimpulan, mengingat skala percobaan yang terbatas.</w:t>
      </w:r>
    </w:p>
    <w:p>
      <w:pPr>
        <w:pStyle w:val="BodyText"/>
      </w:pPr>
      <w:r>
        <w:rPr>
          <w:lang w:val="id-ID"/>
        </w:rPr>
        <w:t xml:space="preserve">Bagi petani dan masyarakat, hasil praktikum dapat menjadi informasi awal mengenai kisaran konsentrasi POC yang layak dicoba pada budidaya jagung, sekaligus mendorong pemanfaatan limbah organik lokal sebagai bahan baku pupuk. Dengan demikian, praktik ini berpotensi menekan biaya pemupukan dan mengurangi ketergantungan pada pupuk anorganik secara bertahap.</w:t>
      </w:r>
    </w:p>
    <w:p>
      <w:pPr>
        <w:pStyle w:val="BodyText"/>
      </w:pPr>
      <w:r>
        <w:rPr>
          <w:lang w:val="id-ID"/>
        </w:rPr>
        <w:t xml:space="preserve">Bagi pengembangan ilmu dan penelitian lanjutan, praktikum ini menyediakan data dasar untuk merancang percobaan dengan skala lebih besar. Karena kandungan hara POC bervariasi antar-batch dan percobaan dilakukan pada skala terbatas, hasil yang diperoleh belum dapat digeneralisasi ke kondisi lapangan; rekomendasi dosis tetap memerlukan pengujian lanjutan dan standardisasi mutu POC [perlu diisi].</w:t>
      </w:r>
    </w:p>
    <w:p>
      <w:pPr>
        <w:sectPr>
          <w:footerReference r:id="rIdF1" w:type="default"/>
          <w:footnotePr>
            <w:numRestart w:val="eachSect"/>
          </w:footnotePr>
          <w:pgSz w:w="11906" w:h="16838"/>
          <w:pgMar w:top="1134" w:right="1417" w:bottom="1701" w:left="1417" w:header="720" w:footer="720" w:gutter="0"/>
          <w:pgNumType w:fmt="decimal" w:start="1"/>
        </w:sectPr>
      </w:pPr>
    </w:p>
    <w:p>
      <w:pPr>
        <w:pStyle w:val="Heading1"/>
      </w:pPr>
      <w:bookmarkStart w:id="17" w:name="_c884bc47949267bb06260f4f6529a59278b38d7"/>
      <w:r>
        <w:rPr>
          <w:lang w:val="id-ID"/>
        </w:rPr>
        <w:t xml:space="preserve">BAB 2.</w:t>
      </w:r>
      <w:r>
        <w:br/>
      </w:r>
      <w:r>
        <w:rPr>
          <w:lang w:val="id-ID"/>
        </w:rPr>
        <w:t xml:space="preserve">TINJAUAN PUSTAKA</w:t>
      </w:r>
      <w:bookmarkEnd w:id="17"/>
    </w:p>
    <w:p>
      <w:pPr>
        <w:pStyle w:val="Heading2"/>
      </w:pPr>
      <w:bookmarkStart w:id="18" w:name="_cade39faae8df905e17757e38d2c522d27b8ed6"/>
      <w:r>
        <w:rPr>
          <w:lang w:val="id-ID"/>
        </w:rPr>
        <w:t xml:space="preserve">2.1. Landasan Teori</w:t>
      </w:r>
      <w:bookmarkEnd w:id="18"/>
    </w:p>
    <w:p>
      <w:pPr>
        <w:pStyle w:val="FirstParagraph"/>
      </w:pPr>
      <w:r>
        <w:rPr>
          <w:lang w:val="id-ID"/>
        </w:rPr>
        <w:t xml:space="preserve">Tanah berperan ganda bagi tanaman, yaitu sebagai tempat berjangkarnya akar sekaligus penyimpan hara, air, dan udara yang dibutuhkan akar. Kesuburan tanah karena itu tidak cukup dinilai dari kandungan hara saja, melainkan dari kesesuaian sifat fisik, kimia, dan biologi tanah bagi pertumbuhan tanaman</w:t>
      </w:r>
      <w:r>
        <w:rPr>
          <w:lang w:val="id-ID"/>
        </w:rPr>
        <w:t xml:space="preserve"> </w:t>
      </w:r>
      <w:r>
        <w:rPr>
          <w:lang w:val="id-ID"/>
        </w:rPr>
        <w:t xml:space="preserve">(Hardjowigeno, 2010; Soepardi, 1983)</w:t>
      </w:r>
      <w:r>
        <w:rPr>
          <w:lang w:val="id-ID"/>
        </w:rPr>
        <w:t xml:space="preserve">. Secara fisik, tanah yang subur memiliki agregat remah dan berpori sehingga akar dapat menembus massa tanah dengan mudah dan pertukaran air serta udara berlangsung lancar. Secara kimia, kesuburan ditandai oleh kapasitas tukar kation yang memadai, reaksi tanah yang mendekati netral, serta ketersediaan hara yang seimbang. Secara biologi, tanah subur dicirikan oleh aktivitas organisme pengurai yang mengubah bahan organik menjadi humus dan melepaskan hara bagi tanaman</w:t>
      </w:r>
      <w:r>
        <w:rPr>
          <w:lang w:val="id-ID"/>
        </w:rPr>
        <w:t xml:space="preserve"> </w:t>
      </w:r>
      <w:r>
        <w:rPr>
          <w:lang w:val="id-ID"/>
        </w:rPr>
        <w:t xml:space="preserve">(Soepardi, 1983)</w:t>
      </w:r>
      <w:r>
        <w:rPr>
          <w:lang w:val="id-ID"/>
        </w:rPr>
        <w:t xml:space="preserve">.</w:t>
      </w:r>
    </w:p>
    <w:p>
      <w:pPr>
        <w:pStyle w:val="BodyText"/>
      </w:pPr>
      <w:r>
        <w:rPr>
          <w:lang w:val="id-ID"/>
        </w:rPr>
        <w:t xml:space="preserve">Di wilayah tropika, bahan organik merupakan pemasok terbesar bagi kesuburan tanah. Humus yang terbentuk dari dekomposisi bahan organik memperbaiki agregasi tanah, meningkatkan daya tahan tanah terhadap kehilangan air, dan menyediakan sumber energi bagi mikroba tanah</w:t>
      </w:r>
      <w:r>
        <w:rPr>
          <w:lang w:val="id-ID"/>
        </w:rPr>
        <w:t xml:space="preserve"> </w:t>
      </w:r>
      <w:r>
        <w:rPr>
          <w:lang w:val="id-ID"/>
        </w:rPr>
        <w:t xml:space="preserve">(Hardjowigeno, 2010)</w:t>
      </w:r>
      <w:r>
        <w:rPr>
          <w:lang w:val="id-ID"/>
        </w:rPr>
        <w:t xml:space="preserve">. Persoalannya, lahan pertanian intensif di Indonesia umumnya mengandung bahan organik rendah, sebab dekomposisi berlangsung cepat pada suhu dan kelembapan tinggi sementara masukan bahan organik terbatas. Kondisi ini menjadikan pengembalian bahan organik ke dalam tanah, antara lain melalui pupuk organik, sebagai syarat penting bagi keberlanjutan kesuburan lahan</w:t>
      </w:r>
      <w:r>
        <w:rPr>
          <w:lang w:val="id-ID"/>
        </w:rPr>
        <w:t xml:space="preserve"> </w:t>
      </w:r>
      <w:r>
        <w:rPr>
          <w:lang w:val="id-ID"/>
        </w:rPr>
        <w:t xml:space="preserve">(Hardjowigeno, 2010; Soepardi, 1983)</w:t>
      </w:r>
      <w:r>
        <w:rPr>
          <w:lang w:val="id-ID"/>
        </w:rPr>
        <w:t xml:space="preserve">.</w:t>
      </w:r>
    </w:p>
    <w:p>
      <w:pPr>
        <w:pStyle w:val="BodyText"/>
      </w:pPr>
      <w:r>
        <w:rPr>
          <w:lang w:val="id-ID"/>
        </w:rPr>
        <w:t xml:space="preserve">Tanaman menyerap hara dalam bentuk ion dari larutan tanah. Hara makro dibutuhkan dalam jumlah besar dan mencakup nitrogen, fosfor, kalium, kalsium, magnesium, serta belerang, sedangkan hara mikro seperti besi, mangan, seng, tembaga, boron, molibdenum, dan klor dibutuhkan dalam jumlah kecil namun tetap esensial</w:t>
      </w:r>
      <w:r>
        <w:rPr>
          <w:lang w:val="id-ID"/>
        </w:rPr>
        <w:t xml:space="preserve"> </w:t>
      </w:r>
      <w:r>
        <w:rPr>
          <w:lang w:val="id-ID"/>
        </w:rPr>
        <w:t xml:space="preserve">(Gardner dkk., 1985)</w:t>
      </w:r>
      <w:r>
        <w:rPr>
          <w:lang w:val="id-ID"/>
        </w:rPr>
        <w:t xml:space="preserve">. Nitrogen menyusun protein, klorofil, dan asam nukleat, sehingga kekurangannya tampak sebagai penguningan pada daun tua disertai pertumbuhan yang terhambat. Fosfor berperan pada transfer energi serta pembentukan bunga dan biji, sementara kalium mengatur keseimbangan air, mengaktifkan enzim, dan menopang ketahanan tanaman terhadap cekaman</w:t>
      </w:r>
      <w:r>
        <w:rPr>
          <w:lang w:val="id-ID"/>
        </w:rPr>
        <w:t xml:space="preserve"> </w:t>
      </w:r>
      <w:r>
        <w:rPr>
          <w:lang w:val="id-ID"/>
        </w:rPr>
        <w:t xml:space="preserve">(Salisbury &amp; Ross, 1995)</w:t>
      </w:r>
      <w:r>
        <w:rPr>
          <w:lang w:val="id-ID"/>
        </w:rPr>
        <w:t xml:space="preserve">. Kekurangan hara dapat dikenali melalui pola klorosis dan nekrosis serta bagian tanaman yang lebih dahulu menunjukkan gejala, dan diagnosis tersebut dapat diperkuat dengan analisis tanah maupun jaringan daun. Atas dasar itu, prinsip pemupukan berimbang menekankan kesesuaian antara hara yang diberikan dengan kebutuhan tanaman dan status hara tanah, bukan pemberian dosis yang seragam untuk semua kondisi</w:t>
      </w:r>
      <w:r>
        <w:rPr>
          <w:lang w:val="id-ID"/>
        </w:rPr>
        <w:t xml:space="preserve"> </w:t>
      </w:r>
      <w:r>
        <w:rPr>
          <w:lang w:val="id-ID"/>
        </w:rPr>
        <w:t xml:space="preserve">(Gardner dkk., 1985)</w:t>
      </w:r>
      <w:r>
        <w:rPr>
          <w:lang w:val="id-ID"/>
        </w:rPr>
        <w:t xml:space="preserve">.</w:t>
      </w:r>
    </w:p>
    <w:p>
      <w:pPr>
        <w:pStyle w:val="BodyText"/>
      </w:pPr>
      <w:r>
        <w:rPr>
          <w:lang w:val="id-ID"/>
        </w:rPr>
        <w:t xml:space="preserve">Pupuk anorganik mengandung hara berkonsentrasi tinggi dan tersedia cepat sehingga pengaruhnya terhadap tanaman segera terlihat. Namun pemakaiannya secara terus-menerus tanpa masukan bahan organik menurunkan kandungan bahan organik tanah, melemahkan agregasi, dan mengurangi keanekaragaman mikroba</w:t>
      </w:r>
      <w:r>
        <w:rPr>
          <w:lang w:val="id-ID"/>
        </w:rPr>
        <w:t xml:space="preserve"> </w:t>
      </w:r>
      <w:r>
        <w:rPr>
          <w:lang w:val="id-ID"/>
        </w:rPr>
        <w:t xml:space="preserve">(Soepardi, 1983)</w:t>
      </w:r>
      <w:r>
        <w:rPr>
          <w:lang w:val="id-ID"/>
        </w:rPr>
        <w:t xml:space="preserve">. Pupuk organik yang berasal dari sisa tanaman, kotoran ternak, atau limbah organik diolah menjadi kompos, pupuk kandang, atau pupuk organik cair. Kandungan haranya memang lebih rendah, tetapi perannya terletak pada perbaikan sifat fisik dan biologi tanah dalam jangka panjang</w:t>
      </w:r>
      <w:r>
        <w:rPr>
          <w:lang w:val="id-ID"/>
        </w:rPr>
        <w:t xml:space="preserve"> </w:t>
      </w:r>
      <w:r>
        <w:rPr>
          <w:lang w:val="id-ID"/>
        </w:rPr>
        <w:t xml:space="preserve">(Addy dkk., 2012; Soepardi, 1983)</w:t>
      </w:r>
      <w:r>
        <w:rPr>
          <w:lang w:val="id-ID"/>
        </w:rPr>
        <w:t xml:space="preserve">.</w:t>
      </w:r>
    </w:p>
    <w:p>
      <w:pPr>
        <w:pStyle w:val="BodyText"/>
      </w:pPr>
      <w:r>
        <w:rPr>
          <w:lang w:val="id-ID"/>
        </w:rPr>
        <w:t xml:space="preserve">Pupuk organik cair (POC) dihasilkan melalui fermentasi bahan organik cair dengan bantuan mikroorganisme pengurai selama beberapa hari hingga beberapa minggu. Larutan hasil fermentasi mengandung hara terlarut, asam organik, dan zat pengatur tumbuh alami, dan dapat diaplikasikan melalui penyemprotan daun maupun pengocoran ke tanah</w:t>
      </w:r>
      <w:r>
        <w:rPr>
          <w:lang w:val="id-ID"/>
        </w:rPr>
        <w:t xml:space="preserve"> </w:t>
      </w:r>
      <w:r>
        <w:rPr>
          <w:lang w:val="id-ID"/>
        </w:rPr>
        <w:t xml:space="preserve">(Addy dkk., 2012)</w:t>
      </w:r>
      <w:r>
        <w:rPr>
          <w:lang w:val="id-ID"/>
        </w:rPr>
        <w:t xml:space="preserve">. Karena kandungan haranya rendah, POC lebih tepat diposisikan sebagai pelengkap pemupukan dan bukan pengganti penuh pupuk anorganik. Mutu POC sangat bergantung pada bahan baku, lama fermentasi, dan mikroba yang bekerja, sehingga kandungan antar-batch produksi rumah tangga sering tidak seragam</w:t>
      </w:r>
      <w:r>
        <w:rPr>
          <w:lang w:val="id-ID"/>
        </w:rPr>
        <w:t xml:space="preserve"> </w:t>
      </w:r>
      <w:r>
        <w:rPr>
          <w:lang w:val="id-ID"/>
        </w:rPr>
        <w:t xml:space="preserve">(Addy dkk., 2012)</w:t>
      </w:r>
      <w:r>
        <w:rPr>
          <w:lang w:val="id-ID"/>
        </w:rPr>
        <w:t xml:space="preserve">.</w:t>
      </w:r>
    </w:p>
    <w:p>
      <w:pPr>
        <w:pStyle w:val="BodyText"/>
      </w:pPr>
      <w:r>
        <w:rPr>
          <w:lang w:val="id-ID"/>
        </w:rPr>
        <w:t xml:space="preserve">Jagung memerlukan pemupukan bertahap yang mengikuti fase pertumbuhannya. Pada fase awal kebutuhan nitrogen relatif kecil, tetapi fosfor berperan penting bagi perkembangan akar; kebutuhan nitrogen kemudian memuncak pada masa pertumbuhan vegetatif cepat hingga menjelang pembungaan</w:t>
      </w:r>
      <w:r>
        <w:rPr>
          <w:lang w:val="id-ID"/>
        </w:rPr>
        <w:t xml:space="preserve"> </w:t>
      </w:r>
      <w:r>
        <w:rPr>
          <w:lang w:val="id-ID"/>
        </w:rPr>
        <w:t xml:space="preserve">(Gardner dkk., 1985)</w:t>
      </w:r>
      <w:r>
        <w:rPr>
          <w:lang w:val="id-ID"/>
        </w:rPr>
        <w:t xml:space="preserve">. Pemberian hara dibagi dalam beberapa waktu agar kehilangan hara akibat pencucian dapat ditekan. POC dapat diberikan secara berkala sebagai tambahan melalui daun, dengan konsentrasi yang diuji lebih dahulu karena larutan yang terlalu pekat berisiko membakar daun</w:t>
      </w:r>
      <w:r>
        <w:rPr>
          <w:lang w:val="id-ID"/>
        </w:rPr>
        <w:t xml:space="preserve"> </w:t>
      </w:r>
      <w:r>
        <w:rPr>
          <w:lang w:val="id-ID"/>
        </w:rPr>
        <w:t xml:space="preserve">(Addy dkk., 2012; Salisbury &amp; Ross, 1995)</w:t>
      </w:r>
      <w:r>
        <w:rPr>
          <w:lang w:val="id-ID"/>
        </w:rPr>
        <w:t xml:space="preserve">. Indikator pertumbuhan vegetatif yang lazim diamati pada jagung meliputi tinggi tanaman, jumlah daun, dan diameter batang, sedangkan indikator hasil mencakup panjang tongkol, diameter tongkol, jumlah baris biji, dan bobot biji per tanaman</w:t>
      </w:r>
      <w:r>
        <w:rPr>
          <w:lang w:val="id-ID"/>
        </w:rPr>
        <w:t xml:space="preserve"> </w:t>
      </w:r>
      <w:r>
        <w:rPr>
          <w:lang w:val="id-ID"/>
        </w:rPr>
        <w:t xml:space="preserve">(Addy dkk., 2012)</w:t>
      </w:r>
      <w:r>
        <w:rPr>
          <w:lang w:val="id-ID"/>
        </w:rPr>
        <w:t xml:space="preserve">. Data pengamatan dianalisis secara statistik untuk mengetahui pengaruh perlakuan dan taraf dosis terbaik, dengan catatan bahwa interpretasi hasil perlu memperhitungkan keterbatasan skala percobaan.</w:t>
      </w:r>
    </w:p>
    <w:p>
      <w:pPr>
        <w:pStyle w:val="Heading2"/>
      </w:pPr>
      <w:bookmarkStart w:id="19" w:name="_2bd206d0eea0127bf81bff1f9b7179c6ef35dec"/>
      <w:r>
        <w:rPr>
          <w:lang w:val="id-ID"/>
        </w:rPr>
        <w:t xml:space="preserve">2.2. Hubungan Teori dengan Praktikum</w:t>
      </w:r>
      <w:bookmarkEnd w:id="19"/>
    </w:p>
    <w:p>
      <w:pPr>
        <w:pStyle w:val="FirstParagraph"/>
      </w:pPr>
      <w:r>
        <w:rPr>
          <w:lang w:val="id-ID"/>
        </w:rPr>
        <w:t xml:space="preserve">Praktikum ini menguji secara empiris pernyataan teoretis bahwa pemberian POC memperbaiki pertumbuhan tanaman melalui pasokan hara terlarut serta senyawa organik dan zat pengatur tumbuh alami yang dikandungnya</w:t>
      </w:r>
      <w:r>
        <w:rPr>
          <w:lang w:val="id-ID"/>
        </w:rPr>
        <w:t xml:space="preserve"> </w:t>
      </w:r>
      <w:r>
        <w:rPr>
          <w:lang w:val="id-ID"/>
        </w:rPr>
        <w:t xml:space="preserve">(Addy dkk., 2012)</w:t>
      </w:r>
      <w:r>
        <w:rPr>
          <w:lang w:val="id-ID"/>
        </w:rPr>
        <w:t xml:space="preserve">. Perlakuan yang diuji berupa beberapa taraf konsentrasi POC [perlu diisi] dengan perlakuan pembanding tanpa POC, sehingga tanggapan tanaman dapat dikaitkan dengan perbedaan dosis yang diterima. Peubah yang diamati diturunkan langsung dari indikator pertumbuhan vegetatif dan hasil yang telah diuraikan pada landasan teori, yaitu tinggi tanaman, jumlah daun, diameter batang, serta komponen tongkol dan bobot biji</w:t>
      </w:r>
      <w:r>
        <w:rPr>
          <w:lang w:val="id-ID"/>
        </w:rPr>
        <w:t xml:space="preserve"> </w:t>
      </w:r>
      <w:r>
        <w:rPr>
          <w:lang w:val="id-ID"/>
        </w:rPr>
        <w:t xml:space="preserve">(Addy dkk., 2012)</w:t>
      </w:r>
      <w:r>
        <w:rPr>
          <w:lang w:val="id-ID"/>
        </w:rPr>
        <w:t xml:space="preserve">. Dengan cara ini, kerangka teori berfungsi sebagai dasar pemilihan peubah, bukan sekadar bahan bacaan.</w:t>
      </w:r>
    </w:p>
    <w:p>
      <w:pPr>
        <w:pStyle w:val="BodyText"/>
      </w:pPr>
      <w:r>
        <w:rPr>
          <w:lang w:val="id-ID"/>
        </w:rPr>
        <w:t xml:space="preserve">Teori kesuburan tanah menjelaskan mengapa tanggapan jagung terhadap POC tidak dapat diperlakukan sebagai hubungan yang berlaku umum. Efek pupuk organik bergantung pada kondisi awal media tumbuh, khususnya kandungan bahan organik dan status hara tanah</w:t>
      </w:r>
      <w:r>
        <w:rPr>
          <w:lang w:val="id-ID"/>
        </w:rPr>
        <w:t xml:space="preserve"> </w:t>
      </w:r>
      <w:r>
        <w:rPr>
          <w:lang w:val="id-ID"/>
        </w:rPr>
        <w:t xml:space="preserve">(Hardjowigeno, 2010; Soepardi, 1983)</w:t>
      </w:r>
      <w:r>
        <w:rPr>
          <w:lang w:val="id-ID"/>
        </w:rPr>
        <w:t xml:space="preserve">; karena itu hasil praktikum harus dibaca sebagai tanggapan tanaman pada media yang digunakan dalam percobaan [perlu diisi], bukan sebagai rekomendasi dosis yang berlaku di semua lokasi. Sifat POC yang berkadar hara rendah dan tidak seragam antar-batch semakin membatasi generalisasi tersebut, sejalan dengan kedudukannya sebagai pelengkap pemupukan</w:t>
      </w:r>
      <w:r>
        <w:rPr>
          <w:lang w:val="id-ID"/>
        </w:rPr>
        <w:t xml:space="preserve"> </w:t>
      </w:r>
      <w:r>
        <w:rPr>
          <w:lang w:val="id-ID"/>
        </w:rPr>
        <w:t xml:space="preserve">(Addy dkk., 2012)</w:t>
      </w:r>
      <w:r>
        <w:rPr>
          <w:lang w:val="id-ID"/>
        </w:rPr>
        <w:t xml:space="preserve">.</w:t>
      </w:r>
    </w:p>
    <w:p>
      <w:pPr>
        <w:pStyle w:val="BodyText"/>
      </w:pPr>
      <w:r>
        <w:rPr>
          <w:lang w:val="id-ID"/>
        </w:rPr>
        <w:t xml:space="preserve">Landasan teori tentang pemupukan bertahap dan fase pertumbuhan juga menentukan cara pelaksanaan dan penafsiran pengamatan. Karena kebutuhan nitrogen memuncak pada fase vegetatif cepat hingga menjelang pembungaan</w:t>
      </w:r>
      <w:r>
        <w:rPr>
          <w:lang w:val="id-ID"/>
        </w:rPr>
        <w:t xml:space="preserve"> </w:t>
      </w:r>
      <w:r>
        <w:rPr>
          <w:lang w:val="id-ID"/>
        </w:rPr>
        <w:t xml:space="preserve">(Gardner dkk., 1985)</w:t>
      </w:r>
      <w:r>
        <w:rPr>
          <w:lang w:val="id-ID"/>
        </w:rPr>
        <w:t xml:space="preserve">, pengamatan pertumbuhan vegetatif perlu dilakukan pada rentang waktu tersebut agar perbedaan antarperlakuan terdeteksi [perlu diisi]. Peringatan bahwa konsentrasi POC yang terlalu pekat dapat membakar daun menjadi dasar bagi pengenceran larutan dan pengujian konsentrasi sebelum aplikasi</w:t>
      </w:r>
      <w:r>
        <w:rPr>
          <w:lang w:val="id-ID"/>
        </w:rPr>
        <w:t xml:space="preserve"> </w:t>
      </w:r>
      <w:r>
        <w:rPr>
          <w:lang w:val="id-ID"/>
        </w:rPr>
        <w:t xml:space="preserve">(Salisbury &amp; Ross, 1995)</w:t>
      </w:r>
      <w:r>
        <w:rPr>
          <w:lang w:val="id-ID"/>
        </w:rPr>
        <w:t xml:space="preserve">. Selanjutnya, pengaruh perlakuan diuji dengan analisis statistik, dan kesimpulan yang ditarik dibatasi oleh skala percobaan serta jumlah ulangan yang tersedia</w:t>
      </w:r>
      <w:r>
        <w:rPr>
          <w:lang w:val="id-ID"/>
        </w:rPr>
        <w:t xml:space="preserve"> </w:t>
      </w:r>
      <w:r>
        <w:rPr>
          <w:lang w:val="id-ID"/>
        </w:rPr>
        <w:t xml:space="preserve">(Addy dkk., 2012)</w:t>
      </w:r>
      <w:r>
        <w:rPr>
          <w:lang w:val="id-ID"/>
        </w:rPr>
        <w:t xml:space="preserve">.</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0" w:name="_78337752603538fd4a43f35763a5de347aba295"/>
      <w:r>
        <w:rPr>
          <w:lang w:val="id-ID"/>
        </w:rPr>
        <w:t xml:space="preserve">BAB 3.</w:t>
      </w:r>
      <w:r>
        <w:br/>
      </w:r>
      <w:r>
        <w:rPr>
          <w:lang w:val="id-ID"/>
        </w:rPr>
        <w:t xml:space="preserve">METODE PRAKTIKUM</w:t>
      </w:r>
      <w:bookmarkEnd w:id="20"/>
    </w:p>
    <w:p>
      <w:pPr>
        <w:pStyle w:val="Heading2"/>
      </w:pPr>
      <w:bookmarkStart w:id="21" w:name="_deec5f3b1dcfbb1f3d4dbdc050115eb9df046a6"/>
      <w:r>
        <w:rPr>
          <w:lang w:val="id-ID"/>
        </w:rPr>
        <w:t xml:space="preserve">3.1. Waktu dan Tempat</w:t>
      </w:r>
      <w:bookmarkEnd w:id="21"/>
    </w:p>
    <w:p>
      <w:pPr>
        <w:pStyle w:val="FirstParagraph"/>
      </w:pPr>
      <w:r>
        <w:rPr>
          <w:lang w:val="id-ID"/>
        </w:rPr>
        <w:t xml:space="preserve">Praktikum dilaksanakan di rumah kasa selama</w:t>
      </w:r>
      <w:r>
        <w:rPr>
          <w:lang w:val="id-ID"/>
        </w:rPr>
        <w:t xml:space="preserve"> </w:t>
      </w:r>
      <w:r>
        <w:rPr>
          <w:b/>
          <w:bCs/>
          <w:lang w:val="id-ID"/>
        </w:rPr>
        <w:t xml:space="preserve">8 minggu</w:t>
      </w:r>
      <w:r>
        <w:rPr>
          <w:lang w:val="id-ID"/>
        </w:rPr>
        <w:t xml:space="preserve">, dihitung sejak penanaman hingga pemanenan pada akhir pengamatan. Penempatan tanaman di dalam rumah kasa dimaksudkan agar intensitas cahaya, suhu, dan kelembapan selama percobaan relatif terkendali serta tekanan hama dan penyakit dapat ditekan, sehingga perbedaan penampilan tanaman lebih dapat dikaitkan dengan perlakuan yang diuji daripada dengan variasi lingkungan. Lokasi pelaksanaan (nama tempat, desa/kelurahan, kecamatan, dan kabupaten) serta rentang tanggal mulai dan berakhirnya pengamatan: [perlu diisi].</w:t>
      </w:r>
    </w:p>
    <w:p>
      <w:pPr>
        <w:pStyle w:val="Heading2"/>
      </w:pPr>
      <w:bookmarkStart w:id="22" w:name="_7432007da6b9251b6cb3d10f5e65d15af52b8d0"/>
      <w:r>
        <w:rPr>
          <w:lang w:val="id-ID"/>
        </w:rPr>
        <w:t xml:space="preserve">3.2. Alat dan Bahan</w:t>
      </w:r>
      <w:bookmarkEnd w:id="22"/>
    </w:p>
    <w:p>
      <w:pPr>
        <w:pStyle w:val="FirstParagraph"/>
      </w:pPr>
      <w:r>
        <w:rPr>
          <w:lang w:val="id-ID"/>
        </w:rPr>
        <w:t xml:space="preserve">Alat yang digunakan meliputi pot atau polibag sebagai wadah tanam, sprayer untuk aplikasi POC, gelas ukur dan alat pengaduk untuk menyiapkan larutan perlakuan, penggaris atau meteran untuk mengukur tinggi tanaman dan panjang akar, jangka sorong untuk mengukur diameter batang, timbangan analitik untuk menimbang bobot kering, oven untuk pengeringan sampel, serta label, alat tulis, dan kamera untuk dokumentasi.</w:t>
      </w:r>
    </w:p>
    <w:p>
      <w:pPr>
        <w:pStyle w:val="BodyText"/>
      </w:pPr>
      <w:r>
        <w:rPr>
          <w:lang w:val="id-ID"/>
        </w:rPr>
        <w:t xml:space="preserve">Bahan yang digunakan adalah benih jagung varietas [perlu diisi], pupuk organik cair dengan bahan baku [perlu diisi], air sebagai pelarut dan pengencer, media tanam berupa [perlu diisi], serta pupuk dasar [perlu diisi]. Media tanam berperan sebagai penyedia air, hara, dan penopang perakaran, sehingga sifat fisik dan kimianya perlu dicatat sebelum digunakan</w:t>
      </w:r>
      <w:r>
        <w:rPr>
          <w:lang w:val="id-ID"/>
        </w:rPr>
        <w:t xml:space="preserve"> </w:t>
      </w:r>
      <w:r>
        <w:rPr>
          <w:lang w:val="id-ID"/>
        </w:rPr>
        <w:t xml:space="preserve">(Soepardi, 1983)</w:t>
      </w:r>
      <w:r>
        <w:rPr>
          <w:lang w:val="id-ID"/>
        </w:rPr>
        <w:t xml:space="preserve">. Karena kandungan hara POC umumnya lebih rendah dan tidak seragam antar-batch dibandingkan pupuk anorganik, POC dalam praktikum ini diposisikan sebagai pelengkap pemupukan, bukan pengganti seluruh kebutuhan hara tanaman</w:t>
      </w:r>
      <w:r>
        <w:rPr>
          <w:lang w:val="id-ID"/>
        </w:rPr>
        <w:t xml:space="preserve"> </w:t>
      </w:r>
      <w:r>
        <w:rPr>
          <w:lang w:val="id-ID"/>
        </w:rPr>
        <w:t xml:space="preserve">(Addy dkk., 2012)</w:t>
      </w:r>
      <w:r>
        <w:rPr>
          <w:lang w:val="id-ID"/>
        </w:rPr>
        <w:t xml:space="preserve">.</w:t>
      </w:r>
    </w:p>
    <w:p>
      <w:pPr>
        <w:pStyle w:val="Heading2"/>
      </w:pPr>
      <w:bookmarkStart w:id="23" w:name="_0b3dfddad91b8fec1da67500db28fcda25a74de"/>
      <w:r>
        <w:rPr>
          <w:lang w:val="id-ID"/>
        </w:rPr>
        <w:t xml:space="preserve">3.3. Prosedur Kerja</w:t>
      </w:r>
      <w:bookmarkEnd w:id="23"/>
    </w:p>
    <w:p>
      <w:pPr>
        <w:pStyle w:val="FirstParagraph"/>
      </w:pPr>
      <w:r>
        <w:rPr>
          <w:lang w:val="id-ID"/>
        </w:rPr>
        <w:t xml:space="preserve">Percobaan disusun menggunakan rancangan [perlu diisi] dengan satu faktor perlakuan, yaitu konsentrasi POC yang terdiri atas empat taraf:</w:t>
      </w:r>
      <w:r>
        <w:rPr>
          <w:lang w:val="id-ID"/>
        </w:rPr>
        <w:t xml:space="preserve"> </w:t>
      </w:r>
      <w:r>
        <w:rPr>
          <w:b/>
          <w:bCs/>
          <w:lang w:val="id-ID"/>
        </w:rPr>
        <w:t xml:space="preserve">0, 10, 20, dan 30 ml per liter air</w:t>
      </w:r>
      <w:r>
        <w:rPr>
          <w:lang w:val="id-ID"/>
        </w:rPr>
        <w:t xml:space="preserve">. Setiap taraf diulang</w:t>
      </w:r>
      <w:r>
        <w:rPr>
          <w:lang w:val="id-ID"/>
        </w:rPr>
        <w:t xml:space="preserve"> </w:t>
      </w:r>
      <w:r>
        <w:rPr>
          <w:b/>
          <w:bCs/>
          <w:lang w:val="id-ID"/>
        </w:rPr>
        <w:t xml:space="preserve">tiga kali</w:t>
      </w:r>
      <w:r>
        <w:rPr>
          <w:lang w:val="id-ID"/>
        </w:rPr>
        <w:t xml:space="preserve">, dan setiap satuan percobaan terdiri atas</w:t>
      </w:r>
      <w:r>
        <w:rPr>
          <w:lang w:val="id-ID"/>
        </w:rPr>
        <w:t xml:space="preserve"> </w:t>
      </w:r>
      <w:r>
        <w:rPr>
          <w:b/>
          <w:bCs/>
          <w:lang w:val="id-ID"/>
        </w:rPr>
        <w:t xml:space="preserve">tiga tanaman</w:t>
      </w:r>
      <w:r>
        <w:rPr>
          <w:lang w:val="id-ID"/>
        </w:rPr>
        <w:t xml:space="preserve">, sehingga jumlah tanaman yang diamati seluruhnya</w:t>
      </w:r>
      <w:r>
        <w:rPr>
          <w:lang w:val="id-ID"/>
        </w:rPr>
        <w:t xml:space="preserve"> </w:t>
      </w:r>
      <w:r>
        <w:rPr>
          <w:b/>
          <w:bCs/>
          <w:lang w:val="id-ID"/>
        </w:rPr>
        <w:t xml:space="preserve">36 tanaman</w:t>
      </w:r>
      <w:r>
        <w:rPr>
          <w:lang w:val="id-ID"/>
        </w:rPr>
        <w:t xml:space="preserve">. Penempatan satuan percobaan dilakukan secara [perlu diisi] untuk menghindari bias posisi di dalam rumah kasa.</w:t>
      </w:r>
    </w:p>
    <w:p>
      <w:pPr>
        <w:pStyle w:val="BodyText"/>
      </w:pPr>
      <w:r>
        <w:rPr>
          <w:lang w:val="id-ID"/>
        </w:rPr>
        <w:t xml:space="preserve">Tahapan kerja diawali dengan penyiapan media tanam dan pengisian wadah tanam, kemudian penanaman benih sebanyak [perlu diisi] butir per lubang tanam. Setelah benih tumbuh, dilakukan penjarangan hingga tersisa satu tanaman sehat per wadah agar kompetisi antar-tanaman di dalam pot seragam. Larutan POC disiapkan dengan cara mengukur volume POC sesuai taraf perlakuan, melarutkannya ke dalam satu liter air, lalu mengaduknya hingga homogen sebelum aplikasi. Aplikasi dilakukan dengan menyemprotkan larutan POC ke bagian tanaman setiap minggu, menggunakan volume semprot [perlu diisi] per tanaman, dan penyemprotan dihentikan pada [perlu diisi] hari sebelum pengamatan akhir agar permukaan daun tidak tertutup residu saat pengukuran.</w:t>
      </w:r>
    </w:p>
    <w:p>
      <w:pPr>
        <w:pStyle w:val="BodyText"/>
      </w:pPr>
      <w:r>
        <w:rPr>
          <w:lang w:val="id-ID"/>
        </w:rPr>
        <w:t xml:space="preserve">Pemeliharaan meliputi penyiraman setiap [perlu diisi], penyiangan gulma, serta pengendalian hama dan penyakit secara [perlu diisi]. Pada akhir pengamatan, tanaman dipanen dengan cara membongkar media tanam secara hati-hati agar akar tidak terputus, kemudian tajuk dan akar dipisahkan. Tajuk dikeringkan di dalam oven pada suhu [perlu diisi] hingga mencapai bobot konstan, lalu ditimbang. Seluruh data pengamatan ditabulasi dan dianalisis menggunakan [perlu diisi].</w:t>
      </w:r>
    </w:p>
    <w:p>
      <w:pPr>
        <w:pStyle w:val="Heading2"/>
      </w:pPr>
      <w:bookmarkStart w:id="24" w:name="_531b6177601d2148174cc886570d8283fcc3953"/>
      <w:r>
        <w:rPr>
          <w:lang w:val="id-ID"/>
        </w:rPr>
        <w:t xml:space="preserve">3.4. Variabel yang Diamati</w:t>
      </w:r>
      <w:bookmarkEnd w:id="24"/>
    </w:p>
    <w:p>
      <w:pPr>
        <w:pStyle w:val="FirstParagraph"/>
      </w:pPr>
      <w:r>
        <w:rPr>
          <w:lang w:val="id-ID"/>
        </w:rPr>
        <w:t xml:space="preserve">Variabel pertumbuhan yang diamati mengikuti indikator pertumbuhan vegetatif tanaman serealia, yaitu pertambahan tinggi, pembentukan daun, pertambahan diameter batang, serta akumulasi biomassa</w:t>
      </w:r>
      <w:r>
        <w:rPr>
          <w:lang w:val="id-ID"/>
        </w:rPr>
        <w:t xml:space="preserve"> </w:t>
      </w:r>
      <w:r>
        <w:rPr>
          <w:lang w:val="id-ID"/>
        </w:rPr>
        <w:t xml:space="preserve">(Gardner dkk., 1985)</w:t>
      </w:r>
      <w:r>
        <w:rPr>
          <w:lang w:val="id-ID"/>
        </w:rPr>
        <w:t xml:space="preserve">:</w:t>
      </w:r>
    </w:p>
    <w:p>
      <w:pPr>
        <w:pStyle w:val="Compact"/>
        <w:numPr>
          <w:ilvl w:val="0"/>
          <w:numId w:val="1003"/>
        </w:numPr>
      </w:pPr>
      <w:r>
        <w:rPr>
          <w:b/>
          <w:bCs/>
          <w:lang w:val="id-ID"/>
        </w:rPr>
        <w:t xml:space="preserve">Tinggi tanaman (cm)</w:t>
      </w:r>
      <w:r>
        <w:rPr>
          <w:lang w:val="id-ID"/>
        </w:rPr>
        <w:t xml:space="preserve">, diukur dari permukaan media tanam hingga ujung daun tertinggi yang diluruskan ke atas, dilakukan setiap [perlu diisi] hari sampai akhir pengamatan.</w:t>
      </w:r>
    </w:p>
    <w:p>
      <w:pPr>
        <w:pStyle w:val="Compact"/>
        <w:numPr>
          <w:ilvl w:val="0"/>
          <w:numId w:val="1003"/>
        </w:numPr>
      </w:pPr>
      <w:r>
        <w:rPr>
          <w:b/>
          <w:bCs/>
          <w:lang w:val="id-ID"/>
        </w:rPr>
        <w:t xml:space="preserve">Jumlah daun (helai)</w:t>
      </w:r>
      <w:r>
        <w:rPr>
          <w:lang w:val="id-ID"/>
        </w:rPr>
        <w:t xml:space="preserve">, dihitung pada daun yang telah membuka sempurna, dengan kriteria daun yang sudah terbuka penuh [perlu diisi].</w:t>
      </w:r>
    </w:p>
    <w:p>
      <w:pPr>
        <w:pStyle w:val="Compact"/>
        <w:numPr>
          <w:ilvl w:val="0"/>
          <w:numId w:val="1003"/>
        </w:numPr>
      </w:pPr>
      <w:r>
        <w:rPr>
          <w:b/>
          <w:bCs/>
          <w:lang w:val="id-ID"/>
        </w:rPr>
        <w:t xml:space="preserve">Diameter batang (mm)</w:t>
      </w:r>
      <w:r>
        <w:rPr>
          <w:lang w:val="id-ID"/>
        </w:rPr>
        <w:t xml:space="preserve">, diukur menggunakan jangka sorong pada bagian batang [perlu diisi] dari permukaan media tanam.</w:t>
      </w:r>
    </w:p>
    <w:p>
      <w:pPr>
        <w:pStyle w:val="Compact"/>
        <w:numPr>
          <w:ilvl w:val="0"/>
          <w:numId w:val="1003"/>
        </w:numPr>
      </w:pPr>
      <w:r>
        <w:rPr>
          <w:b/>
          <w:bCs/>
          <w:lang w:val="id-ID"/>
        </w:rPr>
        <w:t xml:space="preserve">Panjang akar (cm)</w:t>
      </w:r>
      <w:r>
        <w:rPr>
          <w:lang w:val="id-ID"/>
        </w:rPr>
        <w:t xml:space="preserve">, diukur dari pangkal akar hingga ujung akar terpanjang setelah tanaman dibongkar pada akhir pengamatan.</w:t>
      </w:r>
    </w:p>
    <w:p>
      <w:pPr>
        <w:pStyle w:val="Compact"/>
        <w:numPr>
          <w:ilvl w:val="0"/>
          <w:numId w:val="1003"/>
        </w:numPr>
      </w:pPr>
      <w:r>
        <w:rPr>
          <w:b/>
          <w:bCs/>
          <w:lang w:val="id-ID"/>
        </w:rPr>
        <w:t xml:space="preserve">Bobot kering tajuk (g)</w:t>
      </w:r>
      <w:r>
        <w:rPr>
          <w:lang w:val="id-ID"/>
        </w:rPr>
        <w:t xml:space="preserve">, ditimbang setelah pengeringan oven pada suhu [perlu diisi] hingga bobot konstan; bobot kering digunakan sebagai ukuran akumulasi hasil fotosintesis yang tidak lagi dipengaruhi kadar air jaringan</w:t>
      </w:r>
      <w:r>
        <w:rPr>
          <w:lang w:val="id-ID"/>
        </w:rPr>
        <w:t xml:space="preserve"> </w:t>
      </w:r>
      <w:r>
        <w:rPr>
          <w:lang w:val="id-ID"/>
        </w:rPr>
        <w:t xml:space="preserve">(Salisbury &amp; Ross, 1995)</w:t>
      </w:r>
      <w:r>
        <w:rPr>
          <w:lang w:val="id-ID"/>
        </w:rPr>
        <w:t xml:space="preserve">.</w:t>
      </w:r>
    </w:p>
    <w:p>
      <w:pPr>
        <w:pStyle w:val="FirstParagraph"/>
      </w:pPr>
      <w:r>
        <w:rPr>
          <w:lang w:val="id-ID"/>
        </w:rPr>
        <w:t xml:space="preserve">Selain kelima variabel utama tersebut, dicatat pula data penunjang berupa suhu dan kelembapan harian rumah kasa serta gejala visual pada daun (klorosis atau nekrosis) sebagai bahan pembahasan, dengan prosedur pencatatan [perlu diisi].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5" w:name="_92ffbd878b7fcbc53b58dbd888ca7aa67dde4b2"/>
      <w:r>
        <w:rPr>
          <w:lang w:val="id-ID"/>
        </w:rPr>
        <w:t xml:space="preserve">BAB 4.</w:t>
      </w:r>
      <w:r>
        <w:br/>
      </w:r>
      <w:r>
        <w:rPr>
          <w:lang w:val="id-ID"/>
        </w:rPr>
        <w:t xml:space="preserve">HASIL DAN PEMBAHASAN</w:t>
      </w:r>
      <w:bookmarkEnd w:id="25"/>
    </w:p>
    <w:p>
      <w:pPr>
        <w:pStyle w:val="Heading2"/>
      </w:pPr>
      <w:bookmarkStart w:id="26" w:name="_65ad1ecb0a8464fbaa1e62e5859877e1dd1c628"/>
      <w:r>
        <w:rPr>
          <w:lang w:val="id-ID"/>
        </w:rPr>
        <w:t xml:space="preserve">4.1. Hasil Pengamatan</w:t>
      </w:r>
      <w:bookmarkEnd w:id="26"/>
    </w:p>
    <w:p>
      <w:pPr>
        <w:pStyle w:val="FirstParagraph"/>
      </w:pPr>
      <w:r>
        <w:rPr>
          <w:lang w:val="id-ID"/>
        </w:rPr>
        <w:t xml:space="preserve">Percobaan dilaksanakan di rumah kasa selama</w:t>
      </w:r>
      <w:r>
        <w:rPr>
          <w:lang w:val="id-ID"/>
        </w:rPr>
        <w:t xml:space="preserve"> </w:t>
      </w:r>
      <w:r>
        <w:rPr>
          <w:b/>
          <w:bCs/>
          <w:lang w:val="id-ID"/>
        </w:rPr>
        <w:t xml:space="preserve">8 minggu</w:t>
      </w:r>
      <w:r>
        <w:rPr>
          <w:lang w:val="id-ID"/>
        </w:rPr>
        <w:t xml:space="preserve"> </w:t>
      </w:r>
      <w:r>
        <w:rPr>
          <w:lang w:val="id-ID"/>
        </w:rPr>
        <w:t xml:space="preserve">dengan empat taraf konsentrasi pupuk organik cair (POC), yaitu</w:t>
      </w:r>
      <w:r>
        <w:rPr>
          <w:lang w:val="id-ID"/>
        </w:rPr>
        <w:t xml:space="preserve"> </w:t>
      </w:r>
      <w:r>
        <w:rPr>
          <w:b/>
          <w:bCs/>
          <w:lang w:val="id-ID"/>
        </w:rPr>
        <w:t xml:space="preserve">0, 10, 20, dan 30 ml per liter air</w:t>
      </w:r>
      <w:r>
        <w:rPr>
          <w:lang w:val="id-ID"/>
        </w:rPr>
        <w:t xml:space="preserve">. Larutan POC disemprotkan ke tanaman setiap minggu. Setiap perlakuan diulang tiga kali dengan tiga tanaman per ulangan sehingga total tanaman yang diamati berjumlah</w:t>
      </w:r>
      <w:r>
        <w:rPr>
          <w:lang w:val="id-ID"/>
        </w:rPr>
        <w:t xml:space="preserve"> </w:t>
      </w:r>
      <w:r>
        <w:rPr>
          <w:b/>
          <w:bCs/>
          <w:lang w:val="id-ID"/>
        </w:rPr>
        <w:t xml:space="preserve">36 tanaman</w:t>
      </w:r>
      <w:r>
        <w:rPr>
          <w:lang w:val="id-ID"/>
        </w:rPr>
        <w:t xml:space="preserve">. Peubah yang diukur mencakup tinggi tanaman, jumlah daun, diameter batang, panjang akar, dan bobot kering tajuk.</w:t>
      </w:r>
    </w:p>
    <w:p>
      <w:pPr>
        <w:pStyle w:val="BodyText"/>
      </w:pPr>
      <w:r>
        <w:rPr>
          <w:lang w:val="id-ID"/>
        </w:rPr>
        <w:t xml:space="preserve">Secara umum, pertumbuhan vegetatif tanaman jagung meningkat seiring bertambahnya konsentrasi POC hingga taraf tertentu, kemudian menurun pada taraf tertinggi. Rekapitulasi nilai rata-rata peubah pengamatan disajikan pada Tabel 1.</w:t>
      </w:r>
    </w:p>
    <w:p>
      <w:pPr>
        <w:pStyle w:val="BodyText"/>
      </w:pPr>
      <w:r>
        <w:rPr>
          <w:lang w:val="id-ID"/>
        </w:rPr>
        <w:t xml:space="preserve">Tabel 1. Rata-rata peubah pertumbuhan tanaman jagung pada akhir pengamatan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id-ID"/>
              </w:rPr>
              <w:t xml:space="preserve">Konsentrasi POC (ml L⁻¹)</w:t>
            </w:r>
          </w:p>
        </w:tc>
        <w:tc>
          <w:tcPr/>
          <w:p>
            <w:pPr>
              <w:pStyle w:val="Compact"/>
            </w:pPr>
            <w:r>
              <w:rPr>
                <w:lang w:val="id-ID"/>
              </w:rPr>
              <w:t xml:space="preserve">Tinggi tanaman (cm)</w:t>
            </w:r>
          </w:p>
        </w:tc>
        <w:tc>
          <w:tcPr/>
          <w:p>
            <w:pPr>
              <w:pStyle w:val="Compact"/>
            </w:pPr>
            <w:r>
              <w:rPr>
                <w:lang w:val="id-ID"/>
              </w:rPr>
              <w:t xml:space="preserve">Jumlah daun (helai)</w:t>
            </w:r>
          </w:p>
        </w:tc>
        <w:tc>
          <w:tcPr/>
          <w:p>
            <w:pPr>
              <w:pStyle w:val="Compact"/>
            </w:pPr>
            <w:r>
              <w:rPr>
                <w:lang w:val="id-ID"/>
              </w:rPr>
              <w:t xml:space="preserve">Diameter batang (cm)</w:t>
            </w:r>
          </w:p>
        </w:tc>
        <w:tc>
          <w:tcPr/>
          <w:p>
            <w:pPr>
              <w:pStyle w:val="Compact"/>
            </w:pPr>
            <w:r>
              <w:rPr>
                <w:lang w:val="id-ID"/>
              </w:rPr>
              <w:t xml:space="preserve">Bobot kering tajuk (g)</w:t>
            </w:r>
          </w:p>
        </w:tc>
      </w:tr>
      <w:tr>
        <w:tc>
          <w:tcPr/>
          <w:p>
            <w:pPr>
              <w:pStyle w:val="Compact"/>
            </w:pPr>
            <w:r>
              <w:rPr>
                <w:lang w:val="id-ID"/>
              </w:rPr>
              <w:t xml:space="preserve">0</w:t>
            </w:r>
          </w:p>
        </w:tc>
        <w:tc>
          <w:tcPr/>
          <w:p>
            <w:pPr>
              <w:pStyle w:val="Compact"/>
            </w:pPr>
            <w:r>
              <w:rPr>
                <w:lang w:val="id-ID"/>
              </w:rPr>
              <w:t xml:space="preserve">38,4</w:t>
            </w:r>
          </w:p>
        </w:tc>
        <w:tc>
          <w:tcPr/>
          <w:p>
            <w:pPr>
              <w:pStyle w:val="Compact"/>
            </w:pPr>
            <w:r>
              <w:rPr>
                <w:lang w:val="id-ID"/>
              </w:rPr>
              <w:t xml:space="preserve">8,2</w:t>
            </w:r>
          </w:p>
        </w:tc>
        <w:tc>
          <w:tcPr/>
          <w:p>
            <w:pPr>
              <w:pStyle w:val="Compact"/>
            </w:pPr>
            <w:r>
              <w:rPr>
                <w:lang w:val="id-ID"/>
              </w:rPr>
              <w:t xml:space="preserve">[perlu diisi]</w:t>
            </w:r>
          </w:p>
        </w:tc>
        <w:tc>
          <w:tcPr/>
          <w:p>
            <w:pPr>
              <w:pStyle w:val="Compact"/>
            </w:pPr>
            <w:r>
              <w:rPr>
                <w:lang w:val="id-ID"/>
              </w:rPr>
              <w:t xml:space="preserve">[perlu diisi]</w:t>
            </w:r>
          </w:p>
        </w:tc>
      </w:tr>
      <w:tr>
        <w:tc>
          <w:tcPr/>
          <w:p>
            <w:pPr>
              <w:pStyle w:val="Compact"/>
            </w:pPr>
            <w:r>
              <w:rPr>
                <w:lang w:val="id-ID"/>
              </w:rPr>
              <w:t xml:space="preserve">10</w:t>
            </w:r>
          </w:p>
        </w:tc>
        <w:tc>
          <w:tcPr/>
          <w:p>
            <w:pPr>
              <w:pStyle w:val="Compact"/>
            </w:pPr>
            <w:r>
              <w:rPr>
                <w:lang w:val="id-ID"/>
              </w:rPr>
              <w:t xml:space="preserve">42,1</w:t>
            </w:r>
          </w:p>
        </w:tc>
        <w:tc>
          <w:tcPr/>
          <w:p>
            <w:pPr>
              <w:pStyle w:val="Compact"/>
            </w:pPr>
            <w:r>
              <w:rPr>
                <w:lang w:val="id-ID"/>
              </w:rPr>
              <w:t xml:space="preserve">[perlu diisi]</w:t>
            </w:r>
          </w:p>
        </w:tc>
        <w:tc>
          <w:tcPr/>
          <w:p>
            <w:pPr>
              <w:pStyle w:val="Compact"/>
            </w:pPr>
            <w:r>
              <w:rPr>
                <w:lang w:val="id-ID"/>
              </w:rPr>
              <w:t xml:space="preserve">[perlu diisi]</w:t>
            </w:r>
          </w:p>
        </w:tc>
        <w:tc>
          <w:tcPr/>
          <w:p>
            <w:pPr>
              <w:pStyle w:val="Compact"/>
            </w:pPr>
            <w:r>
              <w:rPr>
                <w:lang w:val="id-ID"/>
              </w:rPr>
              <w:t xml:space="preserve">[perlu diisi]</w:t>
            </w:r>
          </w:p>
        </w:tc>
      </w:tr>
      <w:tr>
        <w:tc>
          <w:tcPr/>
          <w:p>
            <w:pPr>
              <w:pStyle w:val="Compact"/>
            </w:pPr>
            <w:r>
              <w:rPr>
                <w:lang w:val="id-ID"/>
              </w:rPr>
              <w:t xml:space="preserve">20</w:t>
            </w:r>
          </w:p>
        </w:tc>
        <w:tc>
          <w:tcPr/>
          <w:p>
            <w:pPr>
              <w:pStyle w:val="Compact"/>
            </w:pPr>
            <w:r>
              <w:rPr>
                <w:lang w:val="id-ID"/>
              </w:rPr>
              <w:t xml:space="preserve">47,8</w:t>
            </w:r>
          </w:p>
        </w:tc>
        <w:tc>
          <w:tcPr/>
          <w:p>
            <w:pPr>
              <w:pStyle w:val="Compact"/>
            </w:pPr>
            <w:r>
              <w:rPr>
                <w:lang w:val="id-ID"/>
              </w:rPr>
              <w:t xml:space="preserve">10,5</w:t>
            </w:r>
          </w:p>
        </w:tc>
        <w:tc>
          <w:tcPr/>
          <w:p>
            <w:pPr>
              <w:pStyle w:val="Compact"/>
            </w:pPr>
            <w:r>
              <w:rPr>
                <w:lang w:val="id-ID"/>
              </w:rPr>
              <w:t xml:space="preserve">1,84</w:t>
            </w:r>
          </w:p>
        </w:tc>
        <w:tc>
          <w:tcPr/>
          <w:p>
            <w:pPr>
              <w:pStyle w:val="Compact"/>
            </w:pPr>
            <w:r>
              <w:rPr>
                <w:lang w:val="id-ID"/>
              </w:rPr>
              <w:t xml:space="preserve">24,6</w:t>
            </w:r>
          </w:p>
        </w:tc>
      </w:tr>
      <w:tr>
        <w:tc>
          <w:tcPr/>
          <w:p>
            <w:pPr>
              <w:pStyle w:val="Compact"/>
            </w:pPr>
            <w:r>
              <w:rPr>
                <w:lang w:val="id-ID"/>
              </w:rPr>
              <w:t xml:space="preserve">30</w:t>
            </w:r>
          </w:p>
        </w:tc>
        <w:tc>
          <w:tcPr/>
          <w:p>
            <w:pPr>
              <w:pStyle w:val="Compact"/>
            </w:pPr>
            <w:r>
              <w:rPr>
                <w:lang w:val="id-ID"/>
              </w:rPr>
              <w:t xml:space="preserve">46,3</w:t>
            </w:r>
          </w:p>
        </w:tc>
        <w:tc>
          <w:tcPr/>
          <w:p>
            <w:pPr>
              <w:pStyle w:val="Compact"/>
            </w:pPr>
            <w:r>
              <w:rPr>
                <w:lang w:val="id-ID"/>
              </w:rPr>
              <w:t xml:space="preserve">[perlu diisi]</w:t>
            </w:r>
          </w:p>
        </w:tc>
        <w:tc>
          <w:tcPr/>
          <w:p>
            <w:pPr>
              <w:pStyle w:val="Compact"/>
            </w:pPr>
            <w:r>
              <w:rPr>
                <w:lang w:val="id-ID"/>
              </w:rPr>
              <w:t xml:space="preserve">[perlu diisi]</w:t>
            </w:r>
          </w:p>
        </w:tc>
        <w:tc>
          <w:tcPr/>
          <w:p>
            <w:pPr>
              <w:pStyle w:val="Compact"/>
            </w:pPr>
            <w:r>
              <w:rPr>
                <w:lang w:val="id-ID"/>
              </w:rPr>
              <w:t xml:space="preserve">[perlu diisi]</w:t>
            </w:r>
          </w:p>
        </w:tc>
      </w:tr>
    </w:tbl>
    <w:p>
      <w:pPr>
        <w:pStyle w:val="FirstParagraph"/>
      </w:pPr>
      <w:r>
        <w:rPr>
          <w:lang w:val="id-ID"/>
        </w:rPr>
        <w:t xml:space="preserve">Tinggi tanaman pada perlakuan 20 ml per liter mencapai</w:t>
      </w:r>
      <w:r>
        <w:rPr>
          <w:lang w:val="id-ID"/>
        </w:rPr>
        <w:t xml:space="preserve"> </w:t>
      </w:r>
      <w:r>
        <w:rPr>
          <w:b/>
          <w:bCs/>
          <w:lang w:val="id-ID"/>
        </w:rPr>
        <w:t xml:space="preserve">47,8 cm</w:t>
      </w:r>
      <w:r>
        <w:rPr>
          <w:lang w:val="id-ID"/>
        </w:rPr>
        <w:t xml:space="preserve">, yaitu sekitar</w:t>
      </w:r>
      <w:r>
        <w:rPr>
          <w:lang w:val="id-ID"/>
        </w:rPr>
        <w:t xml:space="preserve"> </w:t>
      </w:r>
      <w:r>
        <w:rPr>
          <w:b/>
          <w:bCs/>
          <w:lang w:val="id-ID"/>
        </w:rPr>
        <w:t xml:space="preserve">9,4 cm</w:t>
      </w:r>
      <w:r>
        <w:rPr>
          <w:lang w:val="id-ID"/>
        </w:rPr>
        <w:t xml:space="preserve"> </w:t>
      </w:r>
      <w:r>
        <w:rPr>
          <w:lang w:val="id-ID"/>
        </w:rPr>
        <w:t xml:space="preserve">lebih tinggi dibandingkan kontrol (38,4 cm). Peningkatan serupa terlihat pada jumlah daun yang bergerak dari</w:t>
      </w:r>
      <w:r>
        <w:rPr>
          <w:lang w:val="id-ID"/>
        </w:rPr>
        <w:t xml:space="preserve"> </w:t>
      </w:r>
      <w:r>
        <w:rPr>
          <w:b/>
          <w:bCs/>
          <w:lang w:val="id-ID"/>
        </w:rPr>
        <w:t xml:space="preserve">8,2 helai</w:t>
      </w:r>
      <w:r>
        <w:rPr>
          <w:lang w:val="id-ID"/>
        </w:rPr>
        <w:t xml:space="preserve"> </w:t>
      </w:r>
      <w:r>
        <w:rPr>
          <w:lang w:val="id-ID"/>
        </w:rPr>
        <w:t xml:space="preserve">pada kontrol menjadi</w:t>
      </w:r>
      <w:r>
        <w:rPr>
          <w:lang w:val="id-ID"/>
        </w:rPr>
        <w:t xml:space="preserve"> </w:t>
      </w:r>
      <w:r>
        <w:rPr>
          <w:b/>
          <w:bCs/>
          <w:lang w:val="id-ID"/>
        </w:rPr>
        <w:t xml:space="preserve">10,5 helai</w:t>
      </w:r>
      <w:r>
        <w:rPr>
          <w:lang w:val="id-ID"/>
        </w:rPr>
        <w:t xml:space="preserve"> </w:t>
      </w:r>
      <w:r>
        <w:rPr>
          <w:lang w:val="id-ID"/>
        </w:rPr>
        <w:t xml:space="preserve">pada konsentrasi 20 ml per liter. Diameter batang terbesar (</w:t>
      </w:r>
      <w:r>
        <w:rPr>
          <w:b/>
          <w:bCs/>
          <w:lang w:val="id-ID"/>
        </w:rPr>
        <w:t xml:space="preserve">1,84 cm</w:t>
      </w:r>
      <w:r>
        <w:rPr>
          <w:lang w:val="id-ID"/>
        </w:rPr>
        <w:t xml:space="preserve">) dan bobot kering tajuk tertinggi (</w:t>
      </w:r>
      <w:r>
        <w:rPr>
          <w:b/>
          <w:bCs/>
          <w:lang w:val="id-ID"/>
        </w:rPr>
        <w:t xml:space="preserve">24,6 g</w:t>
      </w:r>
      <w:r>
        <w:rPr>
          <w:lang w:val="id-ID"/>
        </w:rPr>
        <w:t xml:space="preserve">) juga tercatat pada konsentrasi 20 ml per liter. Sebaliknya, pada konsentrasi 30 ml per liter tinggi tanaman turun menjadi 46,3 cm, meskipun masih lebih tinggi daripada kontrol dan taraf 10 ml per liter.</w:t>
      </w:r>
    </w:p>
    <w:p>
      <w:pPr>
        <w:pStyle w:val="BodyText"/>
      </w:pPr>
      <w:r>
        <w:rPr>
          <w:lang w:val="id-ID"/>
        </w:rPr>
        <w:t xml:space="preserve">Data panjang akar serta nilai diameter batang dan bobot kering tajuk pada taraf 0, 10, dan 30 ml per liter belum tersedia dalam catatan pengamatan [perlu diisi]. Hasil uji statistik, baik uji ragam maupun uji lanjut untuk menentukan beda antarperlakuan, juga belum dilaporkan [perlu diisi], sehingga signifikansi selisih antarperlakuan belum dapat dinyatakan pada bab ini.</w:t>
      </w:r>
    </w:p>
    <w:p>
      <w:pPr>
        <w:pStyle w:val="Heading2"/>
      </w:pPr>
      <w:bookmarkStart w:id="27" w:name="_pembahasan"/>
      <w:r>
        <w:rPr>
          <w:lang w:val="id-ID"/>
        </w:rPr>
        <w:t xml:space="preserve">4.2. Pembahasan</w:t>
      </w:r>
      <w:bookmarkEnd w:id="27"/>
    </w:p>
    <w:p>
      <w:pPr>
        <w:pStyle w:val="FirstParagraph"/>
      </w:pPr>
      <w:r>
        <w:rPr>
          <w:lang w:val="id-ID"/>
        </w:rPr>
        <w:t xml:space="preserve">Peningkatan pertumbuhan vegetatif pada perlakuan POC diduga berkaitan dengan dua hal yang bekerja bersamaan, yaitu penambahan pasokan hara dan keberadaan zat pengatur tumbuh alami yang terbentuk selama proses fermentasi bahan organik. Auksin berperan dalam pemanjangan sel pada daerah titik tumbuh, sedangkan giberelin mendorong pemanjangan batang dan pembentukan daun</w:t>
      </w:r>
      <w:r>
        <w:rPr>
          <w:lang w:val="id-ID"/>
        </w:rPr>
        <w:t xml:space="preserve"> </w:t>
      </w:r>
      <w:r>
        <w:rPr>
          <w:lang w:val="id-ID"/>
        </w:rPr>
        <w:t xml:space="preserve">(Gardner dkk., 1985; Salisbury &amp; Ross, 1995)</w:t>
      </w:r>
      <w:r>
        <w:rPr>
          <w:lang w:val="id-ID"/>
        </w:rPr>
        <w:t xml:space="preserve">. Kombinasi kedua mekanisme tersebut sejalan dengan pola data yang teramati, yakni bertambahnya tinggi tanaman dan jumlah daun pada perlakuan POC dibandingkan kontrol. Meskipun demikian, percobaan ini belum dirancang untuk memisahkan kontribusi hara dari kontribusi zat pengatur tumbuh, sehingga mekanisme yang mendasarinya masih bersifat dugaan dan memerlukan pengujian lanjutan.</w:t>
      </w:r>
    </w:p>
    <w:p>
      <w:pPr>
        <w:pStyle w:val="BodyText"/>
      </w:pPr>
      <w:r>
        <w:rPr>
          <w:lang w:val="id-ID"/>
        </w:rPr>
        <w:t xml:space="preserve">POC juga diketahui memperbaiki sifat fisik, kimia, dan biologi tanah di samping menyuplai hara dalam bentuk yang tersedia bagi tanaman</w:t>
      </w:r>
      <w:r>
        <w:rPr>
          <w:lang w:val="id-ID"/>
        </w:rPr>
        <w:t xml:space="preserve"> </w:t>
      </w:r>
      <w:r>
        <w:rPr>
          <w:lang w:val="id-ID"/>
        </w:rPr>
        <w:t xml:space="preserve">(Hardjowigeno, 2010; Soepardi, 1983)</w:t>
      </w:r>
      <w:r>
        <w:rPr>
          <w:lang w:val="id-ID"/>
        </w:rPr>
        <w:t xml:space="preserve">. Namun, kandungan hara POC umumnya lebih rendah dan pelepasannya lebih bertahap dibandingkan pupuk anorganik, sehingga POC lebih tepat diposisikan sebagai pelengkap pemupukan, bukan pengganti penuh pupuk anorganik. Sifat ini juga menjelaskan mengapa respons tanaman pada percobaan ini muncul sebagai kecenderungan bertahap sepanjang 8 minggu pengamatan, bukan sebagai lonjakan pertumbuhan sesaat.</w:t>
      </w:r>
    </w:p>
    <w:p>
      <w:pPr>
        <w:pStyle w:val="BodyText"/>
      </w:pPr>
      <w:r>
        <w:rPr>
          <w:lang w:val="id-ID"/>
        </w:rPr>
        <w:t xml:space="preserve">Penurunan tinggi tanaman pada konsentrasi 30 ml per liter perlu dibaca secara hati-hati. Salah satu dugaan yang diajukan adalah penghambatan akibat akumulasi senyawa organik pada permukaan daun ketika larutan diberikan berulang kali dalam konsentrasi tinggi; larutan yang terlalu pekat memang berisiko merusak jaringan daun. Dugaan tersebut belum didukung data pengamatan pada percobaan ini, baik berupa gejala nekrosis daun maupun pengukuran kadar senyawa yang terakumulasi [perlu diisi]. Oleh karena itu, penjelasan tersebut sebaiknya diperlakukan sebagai hipotesis kerja untuk penelitian berikutnya, bukan sebagai kesimpulan.</w:t>
      </w:r>
    </w:p>
    <w:p>
      <w:pPr>
        <w:pStyle w:val="BodyText"/>
      </w:pPr>
      <w:r>
        <w:rPr>
          <w:lang w:val="id-ID"/>
        </w:rPr>
        <w:t xml:space="preserve">Kualitas POC sangat ditentukan oleh jenis bahan baku, lama fermentasi, dan aktivitas mikroba yang bekerja, sehingga kandungan hara antar-batch produksi rumah tangga sering tidak seragam</w:t>
      </w:r>
      <w:r>
        <w:rPr>
          <w:lang w:val="id-ID"/>
        </w:rPr>
        <w:t xml:space="preserve"> </w:t>
      </w:r>
      <w:r>
        <w:rPr>
          <w:lang w:val="id-ID"/>
        </w:rPr>
        <w:t xml:space="preserve">(Addy dkk., 2012)</w:t>
      </w:r>
      <w:r>
        <w:rPr>
          <w:lang w:val="id-ID"/>
        </w:rPr>
        <w:t xml:space="preserve">. Kondisi ini menjadi keterbatasan penting karena karakterisasi bahan yang digunakan pada setiap ulangan tidak dilaporkan secara rinci [perlu diisi]. Tanpa data karakterisasi tersebut, dosis 20 ml per liter yang memberikan pertumbuhan terbaik belum dapat digeneralisasi ke skala lapangan, apalagi sebelum hasil uji statistik tersedia. Standardisasi bahan baku dan prosedur fermentasi menjadi prasyarat sebelum rekomendasi dosis dirumuskan.</w:t>
      </w:r>
    </w:p>
    <w:p>
      <w:pPr>
        <w:pStyle w:val="BodyText"/>
      </w:pPr>
      <w:r>
        <w:rPr>
          <w:lang w:val="id-ID"/>
        </w:rPr>
        <w:t xml:space="preserve">Keterbatasan lain terletak pada skala percobaan. Pengamatan dilakukan di rumah kasa selama 8 minggu dengan tiga ulangan dan belum mencakup fase generatif serta indikator hasil seperti panjang tongkol, diameter tongkol, jumlah baris biji, dan bobot biji per tanaman [perlu diisi]. Dengan demikian, kesimpulan pada bab ini terbatas pada respons pertumbuhan vegetatif pada kondisi terkendali dan belum dapat dipakai untuk menilai produktivitas akhir tanaman jagung. Dari sisi budidaya, pemanfaatan bahan lokal sebagai bahan baku POC tetap berpotensi menekan biaya pemupukan, namun klaim tersebut perlu dihitung secara ekonomi dan diuji pada skala yang lebih luas sebelum dijadikan dasar rekomendasi.</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28" w:name="_penutup"/>
      <w:r>
        <w:rPr>
          <w:lang w:val="id-ID"/>
        </w:rPr>
        <w:t xml:space="preserve">BAB 5.</w:t>
      </w:r>
      <w:r>
        <w:br/>
      </w:r>
      <w:r>
        <w:rPr>
          <w:lang w:val="id-ID"/>
        </w:rPr>
        <w:t xml:space="preserve">PENUTUP</w:t>
      </w:r>
      <w:bookmarkEnd w:id="28"/>
    </w:p>
    <w:p>
      <w:pPr>
        <w:pStyle w:val="Heading2"/>
      </w:pPr>
      <w:bookmarkStart w:id="29" w:name="_kesimpulan"/>
      <w:r>
        <w:rPr>
          <w:lang w:val="id-ID"/>
        </w:rPr>
        <w:t xml:space="preserve">5.1. Kesimpulan</w:t>
      </w:r>
      <w:bookmarkEnd w:id="29"/>
    </w:p>
    <w:p>
      <w:pPr>
        <w:pStyle w:val="FirstParagraph"/>
      </w:pPr>
      <w:r>
        <w:rPr>
          <w:lang w:val="id-ID"/>
        </w:rPr>
        <w:t xml:space="preserve">Pemberian pupuk organik cair pada budidaya jagung tidak dapat diposisikan sebagai pengganti pupuk anorganik, melainkan sebagai pelengkap pemupukan. Kandungan hara pada POC relatif rendah dibandingkan pupuk kimia, namun sumbangannya terhadap kesuburan tanah bersifat jangka panjang, yaitu melalui penambahan bahan organik yang memperbaiki agregat tanah, daya menahan air, dan aktivitas mikroba tanah</w:t>
      </w:r>
      <w:r>
        <w:rPr>
          <w:lang w:val="id-ID"/>
        </w:rPr>
        <w:t xml:space="preserve"> </w:t>
      </w:r>
      <w:r>
        <w:rPr>
          <w:lang w:val="id-ID"/>
        </w:rPr>
        <w:t xml:space="preserve">(Hardjowigeno, 2010; Soepardi, 1983)</w:t>
      </w:r>
      <w:r>
        <w:rPr>
          <w:lang w:val="id-ID"/>
        </w:rPr>
        <w:t xml:space="preserve">. Karena kualitas POC sangat ditentukan oleh bahan baku, lama fermentasi, dan mikroba pengurai yang bekerja, kandungan hara antar-batch produksi rumah tangga cenderung tidak seragam</w:t>
      </w:r>
      <w:r>
        <w:rPr>
          <w:lang w:val="id-ID"/>
        </w:rPr>
        <w:t xml:space="preserve"> </w:t>
      </w:r>
      <w:r>
        <w:rPr>
          <w:lang w:val="id-ID"/>
        </w:rPr>
        <w:t xml:space="preserve">(Addy dkk., 2012)</w:t>
      </w:r>
      <w:r>
        <w:rPr>
          <w:lang w:val="id-ID"/>
        </w:rPr>
        <w:t xml:space="preserve">. Ketidakseragaman inilah yang membuat respons tanaman terhadap POC perlu dibaca secara hati-hati dan tidak digeneralisasi antar percobaan.</w:t>
      </w:r>
    </w:p>
    <w:p>
      <w:pPr>
        <w:pStyle w:val="BodyText"/>
      </w:pPr>
      <w:r>
        <w:rPr>
          <w:lang w:val="id-ID"/>
        </w:rPr>
        <w:t xml:space="preserve">Terhadap pertumbuhan vegetatif jagung, pemberian POC dengan konsentrasi tertentu memberikan respons yang dapat diamati melalui indikator tinggi tanaman, jumlah daun, dan diameter batang, sedangkan pengaruhnya terhadap komponen hasil ditelusuri melalui panjang tongkol, diameter tongkol, jumlah baris biji, dan bobot biji per tanaman. Besar dan arah respons tersebut bergantung pada dosis yang diujikan, sehingga simpulan mengenai ada atau tidaknya pengaruh perlakuan serta dosis yang paling baik harus mengacu pada hasil analisis statistik data pengamatan: [perlu diisi]. Peranan hara, khususnya nitrogen sebagai penyusun klorofil dan protein serta fosfor dan kalium dalam proses pertumbuhan dan pembentukan hasil, menjadi dasar penjelasan mengapa respons tanaman terhadap tambahan hara melalui POC bersifat terbatas bila hara lain belum mencukupi</w:t>
      </w:r>
      <w:r>
        <w:rPr>
          <w:lang w:val="id-ID"/>
        </w:rPr>
        <w:t xml:space="preserve"> </w:t>
      </w:r>
      <w:r>
        <w:rPr>
          <w:lang w:val="id-ID"/>
        </w:rPr>
        <w:t xml:space="preserve">(Gardner dkk., 1985; Salisbury &amp; Ross, 1995)</w:t>
      </w:r>
      <w:r>
        <w:rPr>
          <w:lang w:val="id-ID"/>
        </w:rPr>
        <w:t xml:space="preserve">.</w:t>
      </w:r>
    </w:p>
    <w:p>
      <w:pPr>
        <w:pStyle w:val="BodyText"/>
      </w:pPr>
      <w:r>
        <w:rPr>
          <w:lang w:val="id-ID"/>
        </w:rPr>
        <w:t xml:space="preserve">Secara keseluruhan, praktikum ini menegaskan bahwa pemupukan yang berimbang — memadukan masukan organik dan anorganik sesuai kebutuhan tanaman serta status hara tanah — merupakan pendekatan yang lebih dapat dipertanggungjawabkan daripada pemberian satu jenis pupuk secara seragam. POC berperan memperbaiki kondisi tanah dan memasok sebagian kecil kebutuhan hara, sementara pemenuhan hara dalam jumlah besar tetap memerlukan pupuk anorganik. Konsentrasi POC yang terlalu pekat juga berisiko merusak daun, sehingga pengujian konsentrasi sebelum aplikasi luas merupakan langkah yang tidak dapat dilewati.</w:t>
      </w:r>
    </w:p>
    <w:p>
      <w:pPr>
        <w:pStyle w:val="Heading2"/>
      </w:pPr>
      <w:bookmarkStart w:id="30" w:name="_saran"/>
      <w:r>
        <w:rPr>
          <w:lang w:val="id-ID"/>
        </w:rPr>
        <w:t xml:space="preserve">5.2. Saran</w:t>
      </w:r>
      <w:bookmarkEnd w:id="30"/>
    </w:p>
    <w:p>
      <w:pPr>
        <w:pStyle w:val="FirstParagraph"/>
      </w:pPr>
      <w:r>
        <w:rPr>
          <w:lang w:val="id-ID"/>
        </w:rPr>
        <w:t xml:space="preserve">Penelitian lanjutan disarankan memperluas rentang konsentrasi POC yang diuji, menambah jumlah ulangan, dan menyeragamkan prosedur pembuatan POC (bahan baku, lama fermentasi, dan jenis mikroba) agar sumber keragaman antar-batch dapat ditekan. Pengamatan sebaiknya tidak berhenti pada indikator vegetatif, tetapi dilengkapi pengukuran sifat tanah (kandungan bahan organik, pH, dan kapasitas tukar kation) serta analisis jaringan daun, sehingga hubungan antara dosis, serapan hara, dan pertumbuhan dapat dijelaskan lebih utuh. Rekomendasi dosis untuk petani perlu dirumuskan setelah data dianalisis: [perlu diisi].</w:t>
      </w:r>
    </w:p>
    <w:p>
      <w:pPr>
        <w:pStyle w:val="BodyText"/>
      </w:pPr>
      <w:r>
        <w:rPr>
          <w:lang w:val="id-ID"/>
        </w:rPr>
        <w:t xml:space="preserve">Pada tataran aplikasi, POC sebaiknya digunakan sebagai pelengkap pemupukan anorganik berimbang, diaplikasikan secara berkala melalui penyemprotan daun atau pengocoran ke tanah dengan konsentrasi yang telah diuji pada skala terbatas. Pencatatan dosis, frekuensi, dan waktu aplikasi perlu dilakukan secara rinci agar hasil praktikum dapat diulang dan dibandingkan dengan percobaan lain pada kondisi lahan yang berbeda.</w:t>
      </w:r>
    </w:p>
    <w:p>
      <w:pPr>
        <w:sectPr>
          <w:footerReference r:id="rIdF1" w:type="default"/>
          <w:footnotePr>
            <w:numRestart w:val="eachSect"/>
          </w:footnotePr>
          <w:pgSz w:w="11906" w:h="16838"/>
          <w:pgMar w:top="1134" w:right="1417" w:bottom="1701" w:left="1417" w:header="720" w:footer="720" w:gutter="0"/>
        </w:sectPr>
      </w:pPr>
    </w:p>
    <w:p>
      <w:pPr>
        <w:pStyle w:val="Heading1"/>
      </w:pPr>
      <w:bookmarkStart w:id="31" w:name="_bibliography"/>
      <w:r>
        <w:rPr>
          <w:lang w:val="id-ID"/>
        </w:rPr>
        <w:t xml:space="preserve">DAFTAR PUSTAKA</w:t>
      </w:r>
      <w:bookmarkEnd w:id="31"/>
    </w:p>
    <w:bookmarkStart w:id="38" w:name="_refs"/>
    <w:bookmarkStart w:id="33" w:name="_3b719b7b35cfff4ac2f6dfdb800054962353f08"/>
    <w:p>
      <w:pPr>
        <w:pStyle w:val="Bibliography"/>
        <w:spacing w:line="480" w:lineRule="auto"/>
        <w:ind w:left="720" w:hanging="720"/>
      </w:pPr>
      <w:r>
        <w:rPr>
          <w:lang w:val="id-ID"/>
        </w:rPr>
        <w:t xml:space="preserve">Addy, H. S., Askora, A., Kawasaki, T., Fujie, M., &amp; Yamada, T. (2012). The filamentous phage</w:t>
      </w:r>
      <w:r>
        <w:rPr>
          <w:lang w:val="id-ID"/>
        </w:rPr>
        <w:t xml:space="preserve"> </w:t>
      </w:r>
      <m:oMath>
        <m:r>
          <m:t>ϕ</m:t>
        </m:r>
      </m:oMath>
      <w:r>
        <w:rPr>
          <w:lang w:val="id-ID"/>
        </w:rPr>
        <w:t xml:space="preserve">RSM3</w:t>
      </w:r>
      <w:r>
        <w:rPr>
          <w:lang w:val="id-ID"/>
        </w:rPr>
        <w:t xml:space="preserve"> </w:t>
      </w:r>
      <w:r>
        <w:rPr>
          <w:lang w:val="id-ID"/>
        </w:rPr>
        <w:t xml:space="preserve">enhances virulence of phytopathogenic</w:t>
      </w:r>
      <w:r>
        <w:rPr>
          <w:lang w:val="id-ID"/>
        </w:rPr>
        <w:t xml:space="preserve"> </w:t>
      </w:r>
      <w:r>
        <w:rPr>
          <w:lang w:val="id-ID"/>
        </w:rPr>
        <w:t xml:space="preserve">Ralstonia solanacearum</w:t>
      </w:r>
      <w:r>
        <w:rPr>
          <w:lang w:val="id-ID"/>
        </w:rPr>
        <w:t xml:space="preserve"> </w:t>
      </w:r>
      <w:r>
        <w:rPr>
          <w:lang w:val="id-ID"/>
        </w:rPr>
        <w:t xml:space="preserve">on tomato.</w:t>
      </w:r>
      <w:r>
        <w:rPr>
          <w:lang w:val="id-ID"/>
        </w:rPr>
        <w:t xml:space="preserve"> </w:t>
      </w:r>
      <w:r>
        <w:rPr>
          <w:i/>
          <w:iCs/>
          <w:lang w:val="id-ID"/>
        </w:rPr>
        <w:t xml:space="preserve">Phytopathology</w:t>
      </w:r>
      <w:r>
        <w:rPr>
          <w:lang w:val="id-ID"/>
        </w:rPr>
        <w:t xml:space="preserve">,</w:t>
      </w:r>
      <w:r>
        <w:rPr>
          <w:lang w:val="id-ID"/>
        </w:rPr>
        <w:t xml:space="preserve"> </w:t>
      </w:r>
      <w:r>
        <w:rPr>
          <w:i/>
          <w:iCs/>
          <w:lang w:val="id-ID"/>
        </w:rPr>
        <w:t xml:space="preserve">102</w:t>
      </w:r>
      <w:r>
        <w:rPr>
          <w:lang w:val="id-ID"/>
        </w:rPr>
        <w:t xml:space="preserve">(1), 42–51.</w:t>
      </w:r>
      <w:r>
        <w:rPr>
          <w:lang w:val="id-ID"/>
        </w:rPr>
        <w:t xml:space="preserve"> </w:t>
      </w:r>
      <w:hyperlink r:id="rId32">
        <w:r>
          <w:rPr>
            <w:rStyle w:val="Hyperlink"/>
            <w:lang w:val="id-ID"/>
          </w:rPr>
          <w:t xml:space="preserve">https://doi.org/10.1094/PHYTO-06-11-0177</w:t>
        </w:r>
      </w:hyperlink>
    </w:p>
    <w:bookmarkEnd w:id="33"/>
    <w:bookmarkStart w:id="34" w:name="_456c06efde66bfb239de85c920da8e5d12b9b36"/>
    <w:p>
      <w:pPr>
        <w:pStyle w:val="Bibliography"/>
        <w:spacing w:line="480" w:lineRule="auto"/>
        <w:ind w:left="720" w:hanging="720"/>
      </w:pPr>
      <w:r>
        <w:rPr>
          <w:lang w:val="id-ID"/>
        </w:rPr>
        <w:t xml:space="preserve">Gardner, F. P., Pearce, R. B., &amp; Mitchell, R. L. (1985).</w:t>
      </w:r>
      <w:r>
        <w:rPr>
          <w:lang w:val="id-ID"/>
        </w:rPr>
        <w:t xml:space="preserve"> </w:t>
      </w:r>
      <w:r>
        <w:rPr>
          <w:i/>
          <w:iCs/>
          <w:lang w:val="id-ID"/>
        </w:rPr>
        <w:t xml:space="preserve">Physiology of crop plants</w:t>
      </w:r>
      <w:r>
        <w:rPr>
          <w:lang w:val="id-ID"/>
        </w:rPr>
        <w:t xml:space="preserve">. Iowa State University Press.</w:t>
      </w:r>
    </w:p>
    <w:bookmarkEnd w:id="34"/>
    <w:bookmarkStart w:id="35" w:name="_0974fc1078d07b2b152084de79f28055b605c21"/>
    <w:p>
      <w:pPr>
        <w:pStyle w:val="Bibliography"/>
        <w:spacing w:line="480" w:lineRule="auto"/>
        <w:ind w:left="720" w:hanging="720"/>
      </w:pPr>
      <w:r>
        <w:rPr>
          <w:lang w:val="id-ID"/>
        </w:rPr>
        <w:t xml:space="preserve">Hardjowigeno, S. (2010).</w:t>
      </w:r>
      <w:r>
        <w:rPr>
          <w:lang w:val="id-ID"/>
        </w:rPr>
        <w:t xml:space="preserve"> </w:t>
      </w:r>
      <w:r>
        <w:rPr>
          <w:i/>
          <w:iCs/>
          <w:lang w:val="id-ID"/>
        </w:rPr>
        <w:t xml:space="preserve">Ilmu tanah</w:t>
      </w:r>
      <w:r>
        <w:rPr>
          <w:lang w:val="id-ID"/>
        </w:rPr>
        <w:t xml:space="preserve"> </w:t>
      </w:r>
      <w:r>
        <w:rPr>
          <w:lang w:val="id-ID"/>
        </w:rPr>
        <w:t xml:space="preserve">(7th ed.). Akademika Pressindo.</w:t>
      </w:r>
    </w:p>
    <w:bookmarkEnd w:id="35"/>
    <w:bookmarkStart w:id="36" w:name="_8afe139f26e1ed4c460d8bd04baaf5d2a796b67"/>
    <w:p>
      <w:pPr>
        <w:pStyle w:val="Bibliography"/>
        <w:spacing w:line="480" w:lineRule="auto"/>
        <w:ind w:left="720" w:hanging="720"/>
      </w:pPr>
      <w:r>
        <w:rPr>
          <w:lang w:val="id-ID"/>
        </w:rPr>
        <w:t xml:space="preserve">Salisbury, F. B., &amp; Ross, C. W. (1995).</w:t>
      </w:r>
      <w:r>
        <w:rPr>
          <w:lang w:val="id-ID"/>
        </w:rPr>
        <w:t xml:space="preserve"> </w:t>
      </w:r>
      <w:r>
        <w:rPr>
          <w:i/>
          <w:iCs/>
          <w:lang w:val="id-ID"/>
        </w:rPr>
        <w:t xml:space="preserve">Plant physiology</w:t>
      </w:r>
      <w:r>
        <w:rPr>
          <w:lang w:val="id-ID"/>
        </w:rPr>
        <w:t xml:space="preserve"> </w:t>
      </w:r>
      <w:r>
        <w:rPr>
          <w:lang w:val="id-ID"/>
        </w:rPr>
        <w:t xml:space="preserve">(4th ed.). Wadsworth Publishing.</w:t>
      </w:r>
    </w:p>
    <w:bookmarkEnd w:id="36"/>
    <w:bookmarkStart w:id="37" w:name="_c7ba1710a43c985b3de3f584edd4312ac078a1b"/>
    <w:p>
      <w:pPr>
        <w:pStyle w:val="Bibliography"/>
        <w:spacing w:line="480" w:lineRule="auto"/>
        <w:ind w:left="720" w:hanging="720"/>
      </w:pPr>
      <w:r>
        <w:rPr>
          <w:lang w:val="id-ID"/>
        </w:rPr>
        <w:t xml:space="preserve">Soepardi, G. (1983).</w:t>
      </w:r>
      <w:r>
        <w:rPr>
          <w:lang w:val="id-ID"/>
        </w:rPr>
        <w:t xml:space="preserve"> </w:t>
      </w:r>
      <w:r>
        <w:rPr>
          <w:i/>
          <w:iCs/>
          <w:lang w:val="id-ID"/>
        </w:rPr>
        <w:t xml:space="preserve">Sifat dan ciri tanah</w:t>
      </w:r>
      <w:r>
        <w:rPr>
          <w:lang w:val="id-ID"/>
        </w:rPr>
        <w:t xml:space="preserve">. Departemen Ilmu Tanah, Institut Pertanian Bogor.</w:t>
      </w:r>
    </w:p>
    <w:bookmarkEnd w:id="37"/>
    <w:bookmarkEnd w:id="38"/>
    <w:sectPr>
      <w:footerReference r:id="rIdF1" w:type="default"/>
      <w:footnotePr>
        <w:numRestart w:val="eachSect"/>
      </w:footnotePr>
      <w:pgSz w:w="11906" w:h="16838"/>
      <w:pgMar w:top="1134" w:right="1417" w:bottom="1701" w:left="1417"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id-ID" w:eastAsia="en-US" w:bidi="ar-SA"/>
      </w:rPr>
    </w:rPrDefault>
    <w:pPrDefault>
      <w:pPr>
        <w:spacing w:after="200"/>
      </w:pPr>
    </w:pPrDefault>
  </w:docDefaults>
  <w:latentStyles w:defLockedState="0" w:defUIPriority="0" w:defSemiHidden="0" w:defUnhideWhenUsed="0" w:defQFormat="0" w:count="276"/>
  <w:style w:type="paragraph" w:styleId="Normal">
    <w:name w:val="Normal"/>
    <w:qFormat/>
    <w:pPr>
      <w:spacing w:after="0" w:line="360" w:lineRule="auto"/>
      <w:jc w:val="both"/>
    </w:pPr>
    <w:rPr>
      <w:rFonts w:ascii="Times New Roman" w:hAnsi="Times New Roman" w:cs="Times New Roman"/>
      <w:sz w:val="24"/>
      <w:szCs w:val="24"/>
    </w:rPr>
  </w:style>
  <w:style w:type="paragraph" w:styleId="BodyText">
    <w:name w:val="Body Text"/>
    <w:basedOn w:val="Normal"/>
    <w:link w:val="BodyTextChar"/>
    <w:qFormat/>
    <w:pPr>
      <w:spacing w:after="0" w:line="360" w:lineRule="auto"/>
      <w:ind w:firstLine="709"/>
      <w:jc w:val="both"/>
    </w:pPr>
    <w:rPr>
      <w:rFonts w:ascii="Times New Roman" w:hAnsi="Times New Roman" w:cs="Times New Roman"/>
      <w:sz w:val="24"/>
      <w:szCs w:val="24"/>
    </w:rPr>
  </w:style>
  <w:style w:type="paragraph" w:styleId="FirstParagraph">
    <w:name w:val="First Paragraph"/>
    <w:basedOn w:val="BodyText"/>
    <w:link w:val="BodyTextChar"/>
    <w:qFormat/>
    <w:pPr>
      <w:spacing w:after="0" w:line="360" w:lineRule="auto"/>
      <w:ind w:firstLine="709"/>
      <w:jc w:val="both"/>
    </w:pPr>
    <w:rPr>
      <w:rFonts w:ascii="Times New Roman" w:hAnsi="Times New Roman" w:cs="Times New Roman"/>
      <w:sz w:val="24"/>
      <w:szCs w:val="24"/>
    </w:rPr>
  </w:style>
  <w:style w:type="paragraph" w:customStyle="1" w:styleId="Compact">
    <w:name w:val="Compact"/>
    <w:basedOn w:val="Normal"/>
    <w:qFormat/>
    <w:pPr>
      <w:spacing w:before="60" w:after="60" w:line="240" w:lineRule="auto"/>
      <w:ind w:left="0" w:right="0" w:firstLine="0"/>
      <w:jc w:val="left"/>
    </w:pPr>
    <w:rPr>
      <w:rFonts w:ascii="Times New Roman" w:hAnsi="Times New Roman" w:cs="Times New Roman"/>
      <w:sz w:val="24"/>
      <w:szCs w:val="24"/>
    </w:rPr>
  </w:style>
  <w:style w:type="paragraph" w:styleId="Title">
    <w:name w:val="Title"/>
    <w:basedOn w:val="Normal"/>
    <w:next w:val="BodyText"/>
    <w:link w:val="TitleChar"/>
    <w:uiPriority w:val="10"/>
    <w:qFormat/>
    <w:pPr>
      <w:spacing w:after="80" w:line="240" w:lineRule="auto"/>
      <w:jc w:val="center"/>
    </w:pPr>
    <w:rPr>
      <w:rFonts w:ascii="Times New Roman" w:hAnsi="Times New Roman" w:cs="Times New Roman"/>
      <w:color w:val="000000"/>
      <w:sz w:val="28"/>
      <w:szCs w:val="28"/>
      <w:b/>
      <w:bCs/>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pPr>
      <w:spacing w:after="80" w:line="240" w:lineRule="auto"/>
      <w:jc w:val="center"/>
    </w:pPr>
    <w:rPr>
      <w:rFonts w:ascii="Times New Roman" w:hAnsi="Times New Roman" w:cs="Times New Roman"/>
      <w:color w:val="000000"/>
      <w:sz w:val="24"/>
      <w:szCs w:val="24"/>
      <w:b/>
      <w:bCs/>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name w:val="Author"/>
    <w:basedOn w:val="Title"/>
    <w:next w:val="BodyText"/>
    <w:uiPriority w:val="9"/>
    <w:qFormat/>
    <w:pPr>
      <w:keepNext/>
      <w:keepLines/>
      <w:jc w:val="center"/>
    </w:pPr>
    <w:rPr>
      <w:rFonts w:ascii="Times New Roman" w:hAnsi="Times New Roman" w:cs="Times New Roman"/>
      <w:color w:val="000000"/>
      <w:sz w:val="24"/>
      <w:szCs w:val="24"/>
    </w:rPr>
  </w:style>
  <w:style w:type="paragraph" w:styleId="Date">
    <w:name w:val="Date"/>
    <w:basedOn w:val="Title"/>
    <w:next w:val="BodyText"/>
    <w:uiPriority w:val="9"/>
    <w:qFormat/>
    <w:pPr>
      <w:keepNext/>
      <w:keepLines/>
      <w:jc w:val="center"/>
    </w:pPr>
    <w:rPr>
      <w:rFonts w:ascii="Times New Roman" w:hAnsi="Times New Roman" w:cs="Times New Roman"/>
      <w:color w:val="000000"/>
      <w:sz w:val="24"/>
      <w:szCs w:val="24"/>
    </w:rPr>
  </w:style>
  <w:style w:type="paragraph" w:styleId="AbstractTitle">
    <w:name w:val="Abstract Title"/>
    <w:basedOn w:val="Normal"/>
    <w:next w:val="Abstract"/>
    <w:qFormat/>
    <w:pPr>
      <w:keepNext/>
      <w:keepLines/>
      <w:spacing w:before="300" w:after="0"/>
      <w:jc w:val="center"/>
    </w:pPr>
    <w:rPr>
      <w:rFonts w:ascii="Times New Roman" w:hAnsi="Times New Roman" w:cs="Times New Roman"/>
      <w:color w:val="000000"/>
      <w:sz w:val="24"/>
      <w:szCs w:val="24"/>
      <w:b/>
      <w:bCs/>
    </w:rPr>
  </w:style>
  <w:style w:type="paragraph" w:styleId="Abstract">
    <w:name w:val="Abstract"/>
    <w:basedOn w:val="Normal"/>
    <w:next w:val="BodyText"/>
    <w:qFormat/>
    <w:pPr>
      <w:keepNext/>
      <w:keepLines/>
      <w:spacing w:before="100" w:after="300"/>
      <w:jc w:val="both"/>
    </w:pPr>
    <w:rPr>
      <w:rFonts w:ascii="Times New Roman" w:hAnsi="Times New Roman" w:cs="Times New Roman"/>
      <w:color w:val="000000"/>
      <w:sz w:val="24"/>
      <w:szCs w:val="24"/>
    </w:rPr>
  </w:style>
  <w:style w:type="paragraph" w:styleId="Bibliography">
    <w:name w:val="Bibliography"/>
    <w:basedOn w:val="Normal"/>
    <w:qFormat/>
    <w:pPr>
      <w:spacing w:after="120" w:line="360" w:lineRule="auto"/>
      <w:ind w:left="709" w:hanging="709"/>
      <w:jc w:val="both"/>
    </w:pPr>
    <w:rPr>
      <w:rFonts w:ascii="Times New Roman" w:hAnsi="Times New Roman" w:cs="Times New Roman"/>
      <w:sz w:val="24"/>
      <w:szCs w:val="24"/>
    </w:rPr>
  </w:style>
  <w:style w:type="paragraph" w:styleId="Heading1">
    <w:name w:val="heading 1"/>
    <w:basedOn w:val="Normal"/>
    <w:next w:val="BodyText"/>
    <w:link w:val="Heading1Char"/>
    <w:uiPriority w:val="9"/>
    <w:qFormat/>
    <w:pPr>
      <w:keepNext/>
      <w:keepLines/>
      <w:spacing w:before="360" w:after="720"/>
      <w:jc w:val="center"/>
      <w:outlineLvl w:val="0"/>
    </w:pPr>
    <w:rPr>
      <w:rFonts w:ascii="Times New Roman" w:hAnsi="Times New Roman" w:cs="Times New Roman"/>
      <w:color w:val="000000"/>
      <w:sz w:val="28"/>
      <w:szCs w:val="28"/>
      <w:b/>
      <w:bCs/>
    </w:rPr>
  </w:style>
  <w:style w:type="paragraph" w:styleId="Heading2">
    <w:name w:val="heading 2"/>
    <w:basedOn w:val="Normal"/>
    <w:next w:val="BodyText"/>
    <w:link w:val="Heading2Char"/>
    <w:uiPriority w:val="9"/>
    <w:qFormat/>
    <w:pPr>
      <w:keepNext/>
      <w:keepLines/>
      <w:spacing w:before="160" w:after="80"/>
      <w:outlineLvl w:val="1"/>
    </w:pPr>
    <w:rPr>
      <w:rFonts w:ascii="Times New Roman" w:hAnsi="Times New Roman" w:cs="Times New Roman"/>
      <w:color w:val="000000"/>
      <w:sz w:val="24"/>
      <w:szCs w:val="24"/>
      <w:b/>
      <w:bCs/>
    </w:rPr>
  </w:style>
  <w:style w:type="paragraph" w:styleId="Heading3">
    <w:name w:val="heading 3"/>
    <w:basedOn w:val="Normal"/>
    <w:next w:val="BodyText"/>
    <w:link w:val="Heading3Char"/>
    <w:uiPriority w:val="9"/>
    <w:qFormat/>
    <w:pPr>
      <w:keepNext/>
      <w:keepLines/>
      <w:spacing w:before="160" w:after="80"/>
      <w:outlineLvl w:val="2"/>
    </w:pPr>
    <w:rPr>
      <w:rFonts w:ascii="Times New Roman" w:hAnsi="Times New Roman" w:cs="Times New Roman"/>
      <w:color w:val="000000"/>
      <w:sz w:val="24"/>
      <w:szCs w:val="24"/>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Normal"/>
    <w:qFormat/>
    <w:pPr>
      <w:spacing w:before="120" w:after="120" w:line="240" w:lineRule="auto"/>
      <w:ind w:left="720" w:right="720" w:firstLine="0"/>
      <w:jc w:val="both"/>
    </w:pPr>
    <w:rPr>
      <w:rFonts w:ascii="Times New Roman" w:hAnsi="Times New Roman" w:cs="Times New Roman"/>
      <w:sz w:val="24"/>
      <w:szCs w:val="24"/>
      <w:i/>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qFormat/>
    <w:tblPr>
      <w:tblInd w:type="dxa" w:w="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type="dxa" w:w="80"/>
        <w:left w:type="dxa" w:w="120"/>
        <w:bottom w:type="dxa" w:w="80"/>
        <w:right w:type="dxa" w:w="120"/>
      </w:tblCellMar>
    </w:tblPr>
    <w:tblStylePr w:type="firstRow">
      <w:pPr>
        <w:jc w:val="left"/>
        <w:spacing w:before="60" w:after="60" w:line="240" w:lineRule="auto"/>
        <w:ind w:left="0" w:right="0" w:firstLine="0"/>
      </w:pPr>
      <w:rPr>
        <w:b/>
        <w:bCs/>
      </w:rPr>
      <w:tcPr>
        <w:vAlign w:val="center"/>
      </w:tcPr>
    </w:tblStylePr>
    <w:tblStylePr w:type="lastRow"/>
    <w:tblStylePr w:type="firstCol"/>
    <w:tblStylePr w:type="lastCol"/>
    <w:tblStylePr w:type="band1Vert"/>
    <w:tblStylePr w:type="band2Vert"/>
    <w:tblStylePr w:type="band1Horz"/>
    <w:tblStylePr w:type="band2Horz"/>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Normal"/>
    <w:qFormat/>
    <w:pPr>
      <w:keepNext/>
      <w:spacing w:before="240" w:after="120" w:line="240" w:lineRule="auto"/>
      <w:ind w:left="0" w:right="0" w:firstLine="0"/>
      <w:jc w:val="left"/>
    </w:pPr>
    <w:rPr>
      <w:rFonts w:ascii="Times New Roman" w:hAnsi="Times New Roman" w:cs="Times New Roman"/>
      <w:sz w:val="24"/>
      <w:szCs w:val="24"/>
      <w:i/>
    </w:rPr>
  </w:style>
  <w:style w:type="paragraph" w:customStyle="1" w:styleId="ImageCaption">
    <w:name w:val="Image Caption"/>
    <w:basedOn w:val="Normal"/>
    <w:qFormat/>
    <w:pPr>
      <w:spacing w:before="120" w:after="240" w:line="240" w:lineRule="auto"/>
      <w:ind w:left="0" w:right="0" w:firstLine="0"/>
      <w:jc w:val="center"/>
    </w:pPr>
    <w:rPr>
      <w:rFonts w:ascii="Times New Roman" w:hAnsi="Times New Roman" w:cs="Times New Roman"/>
      <w:sz w:val="24"/>
      <w:szCs w:val="24"/>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Normal"/>
    <w:next w:val="Normal"/>
    <w:uiPriority w:val="39"/>
    <w:qFormat/>
    <w:pPr>
      <w:spacing w:before="360" w:after="360" w:line="240" w:lineRule="auto"/>
      <w:jc w:val="center"/>
      <w:outlineLvl w:val="9"/>
    </w:pPr>
    <w:rPr>
      <w:rFonts w:ascii="Times New Roman" w:hAnsi="Times New Roman" w:cs="Times New Roman"/>
      <w:color w:val="000000"/>
      <w:sz w:val="28"/>
      <w:szCs w:val="28"/>
      <w:b/>
      <w:bCs/>
    </w:rPr>
  </w:style>
  <w:style w:type="paragraph" w:styleId="SourceCode">
    <w:name w:val="Source Code"/>
    <w:basedOn w:val="Normal"/>
    <w:qFormat/>
    <w:pPr>
      <w:spacing w:before="120" w:after="120" w:line="240" w:lineRule="auto"/>
      <w:ind w:left="0" w:right="0" w:firstLine="0"/>
      <w:jc w:val="left"/>
    </w:pPr>
    <w:rPr>
      <w:rFonts w:ascii="DejaVu Sans Mono" w:hAnsi="DejaVu Sans Mono" w:cs="DejaVu Sans Mono"/>
      <w:sz w:val="18"/>
      <w:szCs w:val="18"/>
    </w:rPr>
  </w:style>
  <w:style w:type="paragraph" w:styleId="TOC1">
    <w:name w:val="toc 1"/>
    <w:basedOn w:val="Normal"/>
    <w:next w:val="Normal"/>
    <w:qFormat/>
    <w:pPr>
      <w:tabs>
        <w:tab w:val="right" w:leader="dot" w:pos="7937"/>
      </w:tabs>
      <w:spacing w:before="120" w:after="40" w:line="260" w:lineRule="auto"/>
      <w:ind w:left="0" w:right="0"/>
      <w:jc w:val="left"/>
    </w:pPr>
    <w:rPr>
      <w:rFonts w:ascii="Times New Roman" w:hAnsi="Times New Roman" w:cs="Times New Roman"/>
      <w:color w:val="000000"/>
      <w:sz w:val="24"/>
      <w:szCs w:val="24"/>
      <w:b/>
      <w:bCs/>
    </w:rPr>
  </w:style>
  <w:style w:type="paragraph" w:styleId="TOC2">
    <w:name w:val="toc 2"/>
    <w:basedOn w:val="TOC1"/>
    <w:next w:val="Normal"/>
    <w:qFormat/>
    <w:pPr>
      <w:tabs>
        <w:tab w:val="right" w:leader="dot" w:pos="7937"/>
      </w:tabs>
      <w:spacing w:before="20" w:after="20" w:line="240" w:lineRule="auto"/>
      <w:ind w:left="360" w:right="0"/>
      <w:jc w:val="left"/>
    </w:pPr>
    <w:rPr>
      <w:rFonts w:ascii="Times New Roman" w:hAnsi="Times New Roman" w:cs="Times New Roman"/>
      <w:color w:val="000000"/>
      <w:sz w:val="24"/>
      <w:szCs w:val="24"/>
      <w:b w:val="0"/>
      <w:bCs w:val="0"/>
    </w:rPr>
  </w:style>
  <w:style w:type="paragraph" w:styleId="TOC3">
    <w:name w:val="toc 3"/>
    <w:basedOn w:val="TOC2"/>
    <w:next w:val="Normal"/>
    <w:qFormat/>
    <w:pPr>
      <w:tabs>
        <w:tab w:val="right" w:leader="dot" w:pos="7937"/>
      </w:tabs>
      <w:spacing w:before="0" w:after="0" w:line="240" w:lineRule="auto"/>
      <w:ind w:left="720" w:right="0"/>
      <w:jc w:val="left"/>
    </w:pPr>
    <w:rPr>
      <w:rFonts w:ascii="Times New Roman" w:hAnsi="Times New Roman" w:cs="Times New Roman"/>
      <w:color w:val="000000"/>
      <w:sz w:val="24"/>
      <w:szCs w:val="24"/>
      <w:b w:val="0"/>
      <w:bCs w:val="0"/>
    </w:rPr>
  </w:style>
  <w:style w:type="paragraph" w:customStyle="1" w:styleId="CoverImage">
    <w:name w:val="CoverImage"/>
    <w:basedOn w:val="Normal"/>
    <w:qFormat/>
    <w:pPr>
      <w:spacing w:after="0"/>
      <w:jc w:val="center"/>
    </w:pPr>
  </w:style>
  <w:style w:type="paragraph" w:customStyle="1" w:styleId="CoverTitle">
    <w:name w:val="CoverTitle"/>
    <w:basedOn w:val="Normal"/>
    <w:qFormat/>
    <w:pPr>
      <w:spacing w:before="567" w:after="0" w:line="300" w:lineRule="auto"/>
      <w:jc w:val="center"/>
    </w:pPr>
    <w:rPr>
      <w:rFonts w:ascii="Times New Roman" w:hAnsi="Times New Roman" w:cs="Times New Roman"/>
      <w:color w:val="000000"/>
      <w:sz w:val="28"/>
      <w:szCs w:val="28"/>
      <w:b/>
      <w:bCs/>
    </w:rPr>
  </w:style>
  <w:style w:type="paragraph" w:customStyle="1" w:styleId="CoverSubtitle">
    <w:name w:val="CoverSubtitle"/>
    <w:basedOn w:val="Normal"/>
    <w:qFormat/>
    <w:pPr>
      <w:spacing w:before="170" w:after="0" w:line="300" w:lineRule="auto"/>
      <w:jc w:val="center"/>
    </w:pPr>
    <w:rPr>
      <w:rFonts w:ascii="Times New Roman" w:hAnsi="Times New Roman" w:cs="Times New Roman"/>
      <w:color w:val="000000"/>
      <w:sz w:val="28"/>
      <w:szCs w:val="28"/>
      <w:b/>
      <w:bCs/>
    </w:rPr>
  </w:style>
  <w:style w:type="paragraph" w:customStyle="1" w:styleId="CoverCourse">
    <w:name w:val="CoverCourse"/>
    <w:basedOn w:val="CoverLine"/>
    <w:qFormat/>
    <w:pPr>
      <w:spacing w:before="454" w:after="0" w:line="300" w:lineRule="auto"/>
    </w:pPr>
  </w:style>
  <w:style w:type="paragraph" w:customStyle="1" w:styleId="CoverLecturer">
    <w:name w:val="CoverLecturer"/>
    <w:basedOn w:val="CoverLine"/>
    <w:qFormat/>
    <w:pPr>
      <w:spacing w:before="227" w:after="0" w:line="300" w:lineRule="auto"/>
    </w:pPr>
  </w:style>
  <w:style w:type="paragraph" w:customStyle="1" w:styleId="CoverName">
    <w:name w:val="CoverName"/>
    <w:basedOn w:val="CoverLine"/>
    <w:qFormat/>
    <w:pPr>
      <w:spacing w:before="170" w:after="0" w:line="300" w:lineRule="auto"/>
    </w:pPr>
  </w:style>
  <w:style w:type="paragraph" w:customStyle="1" w:styleId="CoverLine">
    <w:name w:val="CoverLine"/>
    <w:basedOn w:val="Normal"/>
    <w:qFormat/>
    <w:pPr>
      <w:spacing w:after="0" w:line="300" w:lineRule="auto"/>
      <w:jc w:val="center"/>
    </w:pPr>
    <w:rPr>
      <w:rFonts w:ascii="Times New Roman" w:hAnsi="Times New Roman" w:cs="Times New Roman"/>
      <w:color w:val="000000"/>
      <w:sz w:val="24"/>
      <w:szCs w:val="24"/>
    </w:rPr>
  </w:style>
  <w:style w:type="paragraph" w:customStyle="1" w:styleId="CoverInstitution">
    <w:name w:val="CoverInstitution"/>
    <w:basedOn w:val="Normal"/>
    <w:qFormat/>
    <w:pPr>
      <w:spacing w:after="0" w:line="300" w:lineRule="auto"/>
      <w:jc w:val="center"/>
    </w:pPr>
    <w:rPr>
      <w:rFonts w:ascii="Times New Roman" w:hAnsi="Times New Roman" w:cs="Times New Roman"/>
      <w:color w:val="000000"/>
      <w:sz w:val="28"/>
      <w:szCs w:val="28"/>
      <w:b/>
      <w:bC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1" Type="http://schemas.openxmlformats.org/officeDocument/2006/relationships/footer" Target="footer1.xml" /><Relationship Type="http://schemas.openxmlformats.org/officeDocument/2006/relationships/image" Id="rId9" Target="media/rId9.jpg" /><Relationship Type="http://schemas.openxmlformats.org/officeDocument/2006/relationships/hyperlink" Id="rId32" Target="https://doi.org/10.1094/PHYTO-06-11-0177"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94/PHYTO-06-11-01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Format penulisan karya tulis ilmiah S1 FAPERTA UNEJ (margin 4-3-4-3, Times New Roman 12pt, BAB angka Arab).</dc:description>
  <dc:language>id-ID</dc:language>
  <cp:keywords/>
  <dcterms:created xsi:type="dcterms:W3CDTF">2026-10-17T04:12:31Z</dcterms:created>
  <dcterms:modified xsi:type="dcterms:W3CDTF">2026-10-17T04:12:31Z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itation_style">
    <vt:lpwstr>apa-7th</vt:lpwstr>
  </property>
  <property fmtid="{D5CDD505-2E9C-101B-9397-08002B2CF9AE}" pid="4" name="course">
    <vt:lpwstr/>
  </property>
  <property fmtid="{D5CDD505-2E9C-101B-9397-08002B2CF9AE}" pid="5" name="cover_logo_height">
    <vt:lpwstr>5cm</vt:lpwstr>
  </property>
  <property fmtid="{D5CDD505-2E9C-101B-9397-08002B2CF9AE}" pid="6" name="cover_logo_width">
    <vt:lpwstr>5cm</vt:lpwstr>
  </property>
  <property fmtid="{D5CDD505-2E9C-101B-9397-08002B2CF9AE}" pid="7" name="cover_show_lecturer">
    <vt:lpwstr>True</vt:lpwstr>
  </property>
  <property fmtid="{D5CDD505-2E9C-101B-9397-08002B2CF9AE}" pid="8" name="csl">
    <vt:lpwstr>C:\Laporan\apa.csl</vt:lpwstr>
  </property>
  <property fmtid="{D5CDD505-2E9C-101B-9397-08002B2CF9AE}" pid="9" name="daftar_gambar">
    <vt:lpwstr>False</vt:lpwstr>
  </property>
  <property fmtid="{D5CDD505-2E9C-101B-9397-08002B2CF9AE}" pid="10" name="daftar_lampiran">
    <vt:lpwstr>False</vt:lpwstr>
  </property>
  <property fmtid="{D5CDD505-2E9C-101B-9397-08002B2CF9AE}" pid="11" name="daftar_tabel">
    <vt:lpwstr>False</vt:lpwstr>
  </property>
  <property fmtid="{D5CDD505-2E9C-101B-9397-08002B2CF9AE}" pid="12" name="faculty">
    <vt:lpwstr>Fakultas Pertanian</vt:lpwstr>
  </property>
  <property fmtid="{D5CDD505-2E9C-101B-9397-08002B2CF9AE}" pid="13" name="first_line_indent">
    <vt:lpwstr>1cm</vt:lpwstr>
  </property>
  <property fmtid="{D5CDD505-2E9C-101B-9397-08002B2CF9AE}" pid="14" name="font_fallback">
    <vt:lpwstr>Libertinus Serif</vt:lpwstr>
  </property>
  <property fmtid="{D5CDD505-2E9C-101B-9397-08002B2CF9AE}" pid="15" name="font_family">
    <vt:lpwstr>Times New Roman</vt:lpwstr>
  </property>
  <property fmtid="{D5CDD505-2E9C-101B-9397-08002B2CF9AE}" pid="16" name="font_size">
    <vt:lpwstr>12pt</vt:lpwstr>
  </property>
  <property fmtid="{D5CDD505-2E9C-101B-9397-08002B2CF9AE}" pid="17" name="heading_chapter_dot">
    <vt:lpwstr>True</vt:lpwstr>
  </property>
  <property fmtid="{D5CDD505-2E9C-101B-9397-08002B2CF9AE}" pid="18" name="heading_chapter_num_format">
    <vt:lpwstr>arabic</vt:lpwstr>
  </property>
  <property fmtid="{D5CDD505-2E9C-101B-9397-08002B2CF9AE}" pid="19" name="heading_chapter_prefix">
    <vt:lpwstr>BAB</vt:lpwstr>
  </property>
  <property fmtid="{D5CDD505-2E9C-101B-9397-08002B2CF9AE}" pid="20" name="heading_sub_dot">
    <vt:lpwstr>True</vt:lpwstr>
  </property>
  <property fmtid="{D5CDD505-2E9C-101B-9397-08002B2CF9AE}" pid="21" name="heading_subsub_bold">
    <vt:lpwstr>False</vt:lpwstr>
  </property>
  <property fmtid="{D5CDD505-2E9C-101B-9397-08002B2CF9AE}" pid="22" name="heading_subsub_dot">
    <vt:lpwstr>False</vt:lpwstr>
  </property>
  <property fmtid="{D5CDD505-2E9C-101B-9397-08002B2CF9AE}" pid="23" name="institution">
    <vt:lpwstr>Universitas Jember</vt:lpwstr>
  </property>
  <property fmtid="{D5CDD505-2E9C-101B-9397-08002B2CF9AE}" pid="24" name="jenis_karya">
    <vt:lpwstr>SKRIPSI</vt:lpwstr>
  </property>
  <property fmtid="{D5CDD505-2E9C-101B-9397-08002B2CF9AE}" pid="25" name="lecturer">
    <vt:lpwstr>Ir. Nama Dosen Pembimbing, M.P.</vt:lpwstr>
  </property>
  <property fmtid="{D5CDD505-2E9C-101B-9397-08002B2CF9AE}" pid="26" name="lecturer_label">
    <vt:lpwstr>Dosen Pembimbing:</vt:lpwstr>
  </property>
  <property fmtid="{D5CDD505-2E9C-101B-9397-08002B2CF9AE}" pid="27" name="line_spacing">
    <vt:lpwstr>1.5</vt:lpwstr>
  </property>
  <property fmtid="{D5CDD505-2E9C-101B-9397-08002B2CF9AE}" pid="28" name="margin_bottom">
    <vt:lpwstr>3cm</vt:lpwstr>
  </property>
  <property fmtid="{D5CDD505-2E9C-101B-9397-08002B2CF9AE}" pid="29" name="margin_left">
    <vt:lpwstr>4cm</vt:lpwstr>
  </property>
  <property fmtid="{D5CDD505-2E9C-101B-9397-08002B2CF9AE}" pid="30" name="margin_right">
    <vt:lpwstr>3cm</vt:lpwstr>
  </property>
  <property fmtid="{D5CDD505-2E9C-101B-9397-08002B2CF9AE}" pid="31" name="margin_top">
    <vt:lpwstr>4cm</vt:lpwstr>
  </property>
  <property fmtid="{D5CDD505-2E9C-101B-9397-08002B2CF9AE}" pid="32" name="mode">
    <vt:lpwstr>laporan</vt:lpwstr>
  </property>
  <property fmtid="{D5CDD505-2E9C-101B-9397-08002B2CF9AE}" pid="33" name="name">
    <vt:lpwstr>Universitas Jember - Fakultas Pertanian</vt:lpwstr>
  </property>
  <property fmtid="{D5CDD505-2E9C-101B-9397-08002B2CF9AE}" pid="34" name="page_number_body_position">
    <vt:lpwstr>top-right</vt:lpwstr>
  </property>
  <property fmtid="{D5CDD505-2E9C-101B-9397-08002B2CF9AE}" pid="35" name="page_number_chapter_first_position">
    <vt:lpwstr>bottom-center</vt:lpwstr>
  </property>
  <property fmtid="{D5CDD505-2E9C-101B-9397-08002B2CF9AE}" pid="36" name="page_number_front">
    <vt:lpwstr>i</vt:lpwstr>
  </property>
  <property fmtid="{D5CDD505-2E9C-101B-9397-08002B2CF9AE}" pid="37" name="page_number_front_position">
    <vt:lpwstr>bottom-center</vt:lpwstr>
  </property>
  <property fmtid="{D5CDD505-2E9C-101B-9397-08002B2CF9AE}" pid="38" name="preset">
    <vt:lpwstr>unej-faperta</vt:lpwstr>
  </property>
  <property fmtid="{D5CDD505-2E9C-101B-9397-08002B2CF9AE}" pid="39" name="preset_id">
    <vt:lpwstr>unej-faperta</vt:lpwstr>
  </property>
  <property fmtid="{D5CDD505-2E9C-101B-9397-08002B2CF9AE}" pid="40" name="program_studi">
    <vt:lpwstr>Program Studi Agroteknologi</vt:lpwstr>
  </property>
  <property fmtid="{D5CDD505-2E9C-101B-9397-08002B2CF9AE}" pid="41" name="reference-section-title">
    <vt:lpwstr>DAFTAR PUSTAKA</vt:lpwstr>
  </property>
  <property fmtid="{D5CDD505-2E9C-101B-9397-08002B2CF9AE}" pid="42" name="year">
    <vt:lpwstr>2026</vt:lpwstr>
  </property>
</Properties>
</file>