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D7" w:rsidRDefault="00E3001E" w:rsidP="00E3001E">
      <w:pPr>
        <w:pStyle w:val="Heading1"/>
      </w:pPr>
      <w:r>
        <w:t>review jurnal</w:t>
      </w:r>
    </w:p>
    <w:p w:rsidR="00E3001E" w:rsidRDefault="00E3001E" w:rsidP="00E3001E">
      <w:r>
        <w:t>Nama</w:t>
      </w:r>
      <w:r>
        <w:tab/>
        <w:t>: Bagus Sujatmiko</w:t>
      </w:r>
    </w:p>
    <w:p w:rsidR="00E3001E" w:rsidRDefault="00E3001E" w:rsidP="00E3001E">
      <w:r>
        <w:t xml:space="preserve">NIM </w:t>
      </w:r>
      <w:r>
        <w:tab/>
        <w:t>: 11551101836</w:t>
      </w:r>
    </w:p>
    <w:p w:rsidR="00E3001E" w:rsidRDefault="00E3001E" w:rsidP="00E3001E">
      <w:r>
        <w:t xml:space="preserve">Kelas </w:t>
      </w:r>
      <w:r>
        <w:tab/>
        <w:t>: TIF/F/7</w:t>
      </w:r>
    </w:p>
    <w:p w:rsidR="00E3001E" w:rsidRDefault="00E3001E" w:rsidP="00E3001E"/>
    <w:tbl>
      <w:tblPr>
        <w:tblStyle w:val="TableGrid"/>
        <w:tblW w:w="0" w:type="auto"/>
        <w:tblLook w:val="04A0" w:firstRow="1" w:lastRow="0" w:firstColumn="1" w:lastColumn="0" w:noHBand="0" w:noVBand="1"/>
      </w:tblPr>
      <w:tblGrid>
        <w:gridCol w:w="1525"/>
        <w:gridCol w:w="7491"/>
      </w:tblGrid>
      <w:tr w:rsidR="00E3001E" w:rsidTr="00E3001E">
        <w:tc>
          <w:tcPr>
            <w:tcW w:w="1525" w:type="dxa"/>
            <w:vAlign w:val="center"/>
          </w:tcPr>
          <w:p w:rsidR="00E3001E" w:rsidRDefault="00E3001E" w:rsidP="00E3001E">
            <w:r>
              <w:t>Judul</w:t>
            </w:r>
          </w:p>
        </w:tc>
        <w:tc>
          <w:tcPr>
            <w:tcW w:w="7491" w:type="dxa"/>
          </w:tcPr>
          <w:p w:rsidR="00E3001E" w:rsidRPr="00CB389C" w:rsidRDefault="00E3001E" w:rsidP="00E3001E">
            <w:pPr>
              <w:rPr>
                <w:b/>
              </w:rPr>
            </w:pPr>
            <w:r w:rsidRPr="00CB389C">
              <w:rPr>
                <w:b/>
              </w:rPr>
              <w:t xml:space="preserve">Audit Tata Kelola Teknologi Informasi pada Dinas Komunikasi dan Informatika (DISKOMINFO) Kota Probolinggo Menggunakan Kerangka Kerja COBIT 4.1 </w:t>
            </w:r>
            <w:r w:rsidRPr="00CB389C">
              <w:rPr>
                <w:b/>
                <w:i/>
              </w:rPr>
              <w:t>Domain Plan and Organise dan Acquire and Implement</w:t>
            </w:r>
          </w:p>
        </w:tc>
      </w:tr>
      <w:tr w:rsidR="00E3001E" w:rsidTr="00E3001E">
        <w:tc>
          <w:tcPr>
            <w:tcW w:w="1525" w:type="dxa"/>
            <w:vAlign w:val="center"/>
          </w:tcPr>
          <w:p w:rsidR="00E3001E" w:rsidRDefault="00E3001E" w:rsidP="00E3001E">
            <w:r>
              <w:t>Penulis</w:t>
            </w:r>
          </w:p>
        </w:tc>
        <w:tc>
          <w:tcPr>
            <w:tcW w:w="7491" w:type="dxa"/>
          </w:tcPr>
          <w:p w:rsidR="00E3001E" w:rsidRPr="00072076" w:rsidRDefault="00E3001E" w:rsidP="00E3001E">
            <w:pPr>
              <w:rPr>
                <w:b/>
              </w:rPr>
            </w:pPr>
            <w:r w:rsidRPr="00072076">
              <w:rPr>
                <w:b/>
              </w:rPr>
              <w:t>Liliandara Wahyu Imami, Suprapto, Yusi Tyroni Mursityo</w:t>
            </w:r>
          </w:p>
        </w:tc>
      </w:tr>
      <w:tr w:rsidR="00E3001E" w:rsidTr="00E3001E">
        <w:tc>
          <w:tcPr>
            <w:tcW w:w="1525" w:type="dxa"/>
            <w:vAlign w:val="center"/>
          </w:tcPr>
          <w:p w:rsidR="00E3001E" w:rsidRDefault="00E3001E" w:rsidP="00E3001E">
            <w:r>
              <w:t>Metode</w:t>
            </w:r>
          </w:p>
        </w:tc>
        <w:tc>
          <w:tcPr>
            <w:tcW w:w="7491" w:type="dxa"/>
          </w:tcPr>
          <w:p w:rsidR="00E3001E" w:rsidRDefault="00072076" w:rsidP="002F3B88">
            <w:r>
              <w:t>Kerangka Kerja COBIT 4.1 pada</w:t>
            </w:r>
            <w:r w:rsidR="00A7201E">
              <w:t xml:space="preserve"> D</w:t>
            </w:r>
            <w:r>
              <w:t xml:space="preserve">omain </w:t>
            </w:r>
            <w:r w:rsidRPr="002F3B88">
              <w:rPr>
                <w:i/>
              </w:rPr>
              <w:t xml:space="preserve">Plan </w:t>
            </w:r>
            <w:r w:rsidR="002F3B88">
              <w:rPr>
                <w:i/>
              </w:rPr>
              <w:t>and</w:t>
            </w:r>
            <w:r w:rsidRPr="002F3B88">
              <w:rPr>
                <w:i/>
              </w:rPr>
              <w:t xml:space="preserve"> Organise</w:t>
            </w:r>
            <w:r w:rsidR="002F3B88" w:rsidRPr="002F3B88">
              <w:rPr>
                <w:i/>
              </w:rPr>
              <w:t xml:space="preserve"> </w:t>
            </w:r>
            <w:r w:rsidR="002F3B88" w:rsidRPr="002F3B88">
              <w:t>(PO)</w:t>
            </w:r>
            <w:r w:rsidR="002F3B88">
              <w:t xml:space="preserve"> </w:t>
            </w:r>
            <w:r w:rsidR="002F3B88" w:rsidRPr="002F3B88">
              <w:t>dan</w:t>
            </w:r>
            <w:r w:rsidR="002F3B88" w:rsidRPr="002F3B88">
              <w:rPr>
                <w:i/>
              </w:rPr>
              <w:t xml:space="preserve"> Acquire and Implement</w:t>
            </w:r>
            <w:r w:rsidR="002F3B88">
              <w:t xml:space="preserve"> (AI)</w:t>
            </w:r>
          </w:p>
        </w:tc>
      </w:tr>
      <w:tr w:rsidR="00E3001E" w:rsidTr="00E3001E">
        <w:tc>
          <w:tcPr>
            <w:tcW w:w="1525" w:type="dxa"/>
            <w:vAlign w:val="center"/>
          </w:tcPr>
          <w:p w:rsidR="00E3001E" w:rsidRPr="002F3B88" w:rsidRDefault="00E3001E" w:rsidP="00E3001E">
            <w:pPr>
              <w:rPr>
                <w:i/>
              </w:rPr>
            </w:pPr>
            <w:r w:rsidRPr="002F3B88">
              <w:rPr>
                <w:i/>
              </w:rPr>
              <w:t>Input</w:t>
            </w:r>
          </w:p>
        </w:tc>
        <w:tc>
          <w:tcPr>
            <w:tcW w:w="7491" w:type="dxa"/>
          </w:tcPr>
          <w:p w:rsidR="00E3001E" w:rsidRDefault="002F3B88" w:rsidP="002F3B88">
            <w:pPr>
              <w:spacing w:line="276" w:lineRule="auto"/>
            </w:pPr>
            <w:r w:rsidRPr="002F3B88">
              <w:t xml:space="preserve">Data utama yang digunakan dalam penelitian berupa hasil dari kuesioner yang telah diisi oleh staf pada bidang Teknologi Informasi dan Komunikasi serta bidang Layanan </w:t>
            </w:r>
            <w:r w:rsidRPr="002F3B88">
              <w:rPr>
                <w:i/>
              </w:rPr>
              <w:t>e-Government.</w:t>
            </w:r>
            <w:r w:rsidRPr="002F3B88">
              <w:t xml:space="preserve"> Kuesioner dibuat berdasarkan </w:t>
            </w:r>
            <w:r w:rsidRPr="002F3B88">
              <w:rPr>
                <w:i/>
              </w:rPr>
              <w:t>control</w:t>
            </w:r>
            <w:r w:rsidRPr="002F3B88">
              <w:t xml:space="preserve"> </w:t>
            </w:r>
            <w:r w:rsidRPr="002F3B88">
              <w:rPr>
                <w:i/>
              </w:rPr>
              <w:t>objective</w:t>
            </w:r>
            <w:r w:rsidRPr="002F3B88">
              <w:t xml:space="preserve"> kerangka kerja COBIT 4.1 dan dibagikan kepada koresponden yang ditentukan melalui peran yang ada pada diagram RACI.</w:t>
            </w:r>
          </w:p>
        </w:tc>
      </w:tr>
      <w:tr w:rsidR="00E3001E" w:rsidTr="00E3001E">
        <w:tc>
          <w:tcPr>
            <w:tcW w:w="1525" w:type="dxa"/>
            <w:vAlign w:val="center"/>
          </w:tcPr>
          <w:p w:rsidR="00E3001E" w:rsidRPr="002F3B88" w:rsidRDefault="00E3001E" w:rsidP="00E3001E">
            <w:pPr>
              <w:rPr>
                <w:i/>
              </w:rPr>
            </w:pPr>
            <w:r w:rsidRPr="002F3B88">
              <w:rPr>
                <w:i/>
              </w:rPr>
              <w:t>Output</w:t>
            </w:r>
          </w:p>
        </w:tc>
        <w:tc>
          <w:tcPr>
            <w:tcW w:w="7491" w:type="dxa"/>
          </w:tcPr>
          <w:p w:rsidR="00DE5098" w:rsidRDefault="00DE5098" w:rsidP="00E3001E">
            <w:r w:rsidRPr="00DE5098">
              <w:t xml:space="preserve">Nilai </w:t>
            </w:r>
            <w:r w:rsidRPr="00DE5098">
              <w:rPr>
                <w:i/>
              </w:rPr>
              <w:t>Maturity</w:t>
            </w:r>
            <w:r w:rsidRPr="00DE5098">
              <w:t xml:space="preserve"> Level seluruh proses pada domain PO berada pada kisaran nilai 1,00 sampai dengan 3,00.</w:t>
            </w:r>
            <w:r>
              <w:t xml:space="preserve"> </w:t>
            </w:r>
            <w:r w:rsidRPr="00DE5098">
              <w:t xml:space="preserve">Nilai </w:t>
            </w:r>
            <w:r w:rsidRPr="00DE5098">
              <w:rPr>
                <w:i/>
              </w:rPr>
              <w:t xml:space="preserve">Maturity </w:t>
            </w:r>
            <w:r w:rsidRPr="00DE5098">
              <w:t>Level seluruh proses pada domain AI berada pada kisaran nilai 1,00 sampai dengan 2,00.</w:t>
            </w:r>
          </w:p>
        </w:tc>
      </w:tr>
      <w:tr w:rsidR="00E3001E" w:rsidTr="00E3001E">
        <w:tc>
          <w:tcPr>
            <w:tcW w:w="1525" w:type="dxa"/>
            <w:vAlign w:val="center"/>
          </w:tcPr>
          <w:p w:rsidR="00E3001E" w:rsidRDefault="00E3001E" w:rsidP="00E3001E">
            <w:r>
              <w:t>Kesimpulan</w:t>
            </w:r>
          </w:p>
        </w:tc>
        <w:tc>
          <w:tcPr>
            <w:tcW w:w="7491" w:type="dxa"/>
          </w:tcPr>
          <w:p w:rsidR="00E3001E" w:rsidRPr="00DE5098" w:rsidRDefault="00210BA1" w:rsidP="00DE5098">
            <w:r>
              <w:t xml:space="preserve">Nilai </w:t>
            </w:r>
            <w:r w:rsidRPr="00DB32BA">
              <w:rPr>
                <w:i/>
              </w:rPr>
              <w:t>maturity</w:t>
            </w:r>
            <w:r>
              <w:t xml:space="preserve"> level pada domain </w:t>
            </w:r>
            <w:r w:rsidRPr="00DB32BA">
              <w:rPr>
                <w:i/>
              </w:rPr>
              <w:t>Plan and Organise</w:t>
            </w:r>
            <w:r>
              <w:t xml:space="preserve"> berada pada kisaran 1 sampai 3 yaitu 1.9 yang berarti kurangnya perencanaan strategis pada DISKOMINFO </w:t>
            </w:r>
            <w:r w:rsidR="00DE5098">
              <w:t xml:space="preserve">Kota Probolinggo </w:t>
            </w:r>
            <w:r>
              <w:t>dalam melakukan aktivitasnya dan hanya berjalan ketika diper</w:t>
            </w:r>
            <w:r w:rsidR="00DE5098">
              <w:t xml:space="preserve">lukan. Domain </w:t>
            </w:r>
            <w:r w:rsidR="00DE5098" w:rsidRPr="00DE5098">
              <w:rPr>
                <w:i/>
              </w:rPr>
              <w:t>Acquire and Implement</w:t>
            </w:r>
            <w:r w:rsidR="00DE5098">
              <w:rPr>
                <w:i/>
              </w:rPr>
              <w:t xml:space="preserve"> </w:t>
            </w:r>
            <w:r w:rsidR="00DE5098">
              <w:t xml:space="preserve">memiliki nilai </w:t>
            </w:r>
            <w:r w:rsidR="00DE5098" w:rsidRPr="00DE5098">
              <w:rPr>
                <w:i/>
              </w:rPr>
              <w:t>maturity</w:t>
            </w:r>
            <w:r w:rsidR="00DE5098">
              <w:rPr>
                <w:i/>
              </w:rPr>
              <w:t xml:space="preserve"> </w:t>
            </w:r>
            <w:r w:rsidR="00DE5098">
              <w:t xml:space="preserve">level antara 1 sampai 2 dengan nilai rata-rata 1,29 yang berarti DISKOMINFO Kota Probolinggo </w:t>
            </w:r>
            <w:r w:rsidR="00DE5098" w:rsidRPr="00DE5098">
              <w:t>dalam perencanaan, pengadaan, pengawasan, pemeliharaan berjalan secara intuitif terhadap infrastruktur TI yang ada.</w:t>
            </w:r>
          </w:p>
        </w:tc>
      </w:tr>
    </w:tbl>
    <w:p w:rsidR="00E3001E" w:rsidRDefault="00E3001E" w:rsidP="00E3001E"/>
    <w:p w:rsidR="000C0A9A" w:rsidRDefault="000C0A9A" w:rsidP="00E3001E"/>
    <w:p w:rsidR="00B57396" w:rsidRDefault="00B57396" w:rsidP="00E3001E"/>
    <w:p w:rsidR="00B57396" w:rsidRDefault="00B57396" w:rsidP="00E3001E"/>
    <w:p w:rsidR="00B57396" w:rsidRDefault="00B57396" w:rsidP="00E3001E"/>
    <w:p w:rsidR="00B57396" w:rsidRDefault="00B57396" w:rsidP="00E3001E"/>
    <w:p w:rsidR="00B57396" w:rsidRDefault="00B57396" w:rsidP="00E3001E"/>
    <w:p w:rsidR="00B57396" w:rsidRDefault="00B57396" w:rsidP="00E3001E"/>
    <w:p w:rsidR="00B57396" w:rsidRDefault="00B57396" w:rsidP="00E3001E"/>
    <w:tbl>
      <w:tblPr>
        <w:tblStyle w:val="TableGrid"/>
        <w:tblW w:w="0" w:type="auto"/>
        <w:tblLook w:val="04A0" w:firstRow="1" w:lastRow="0" w:firstColumn="1" w:lastColumn="0" w:noHBand="0" w:noVBand="1"/>
      </w:tblPr>
      <w:tblGrid>
        <w:gridCol w:w="1525"/>
        <w:gridCol w:w="7491"/>
      </w:tblGrid>
      <w:tr w:rsidR="00B57396" w:rsidTr="005D1731">
        <w:tc>
          <w:tcPr>
            <w:tcW w:w="1525" w:type="dxa"/>
            <w:vAlign w:val="center"/>
          </w:tcPr>
          <w:p w:rsidR="00B57396" w:rsidRDefault="00B57396" w:rsidP="005D1731">
            <w:r>
              <w:t>Judul</w:t>
            </w:r>
          </w:p>
        </w:tc>
        <w:tc>
          <w:tcPr>
            <w:tcW w:w="7491" w:type="dxa"/>
          </w:tcPr>
          <w:p w:rsidR="00CB389C" w:rsidRPr="00CB389C" w:rsidRDefault="00CB389C" w:rsidP="00CB389C">
            <w:pPr>
              <w:rPr>
                <w:b/>
              </w:rPr>
            </w:pPr>
            <w:r w:rsidRPr="00CB389C">
              <w:rPr>
                <w:b/>
              </w:rPr>
              <w:t xml:space="preserve">Audit Teknologi Informasi menggunakan </w:t>
            </w:r>
            <w:r w:rsidRPr="00CB389C">
              <w:rPr>
                <w:b/>
                <w:i/>
              </w:rPr>
              <w:t xml:space="preserve">Framework </w:t>
            </w:r>
            <w:r w:rsidRPr="00CB389C">
              <w:rPr>
                <w:b/>
              </w:rPr>
              <w:t>COBIT 5</w:t>
            </w:r>
          </w:p>
          <w:p w:rsidR="00CB389C" w:rsidRPr="00CB389C" w:rsidRDefault="00CB389C" w:rsidP="00CB389C">
            <w:pPr>
              <w:rPr>
                <w:b/>
              </w:rPr>
            </w:pPr>
            <w:r w:rsidRPr="00CB389C">
              <w:rPr>
                <w:b/>
              </w:rPr>
              <w:t>Pada Domain DSS (</w:t>
            </w:r>
            <w:r w:rsidRPr="00CB389C">
              <w:rPr>
                <w:b/>
                <w:i/>
              </w:rPr>
              <w:t>Delivery, Service, and Support</w:t>
            </w:r>
            <w:r w:rsidRPr="00CB389C">
              <w:rPr>
                <w:b/>
              </w:rPr>
              <w:t>) (Studi Kasus :</w:t>
            </w:r>
          </w:p>
          <w:p w:rsidR="00B57396" w:rsidRDefault="00CB389C" w:rsidP="00CB389C">
            <w:r w:rsidRPr="00CB389C">
              <w:rPr>
                <w:b/>
                <w:i/>
              </w:rPr>
              <w:t>iGracias Telkom University</w:t>
            </w:r>
            <w:r w:rsidRPr="00CB389C">
              <w:rPr>
                <w:b/>
              </w:rPr>
              <w:t>)</w:t>
            </w:r>
          </w:p>
        </w:tc>
      </w:tr>
      <w:tr w:rsidR="00B57396" w:rsidTr="005D1731">
        <w:tc>
          <w:tcPr>
            <w:tcW w:w="1525" w:type="dxa"/>
            <w:vAlign w:val="center"/>
          </w:tcPr>
          <w:p w:rsidR="00B57396" w:rsidRDefault="00B57396" w:rsidP="005D1731">
            <w:r>
              <w:t>Penulis</w:t>
            </w:r>
          </w:p>
        </w:tc>
        <w:tc>
          <w:tcPr>
            <w:tcW w:w="7491" w:type="dxa"/>
          </w:tcPr>
          <w:p w:rsidR="00B57396" w:rsidRPr="00072076" w:rsidRDefault="00CB389C" w:rsidP="005D1731">
            <w:pPr>
              <w:rPr>
                <w:b/>
              </w:rPr>
            </w:pPr>
            <w:r>
              <w:rPr>
                <w:b/>
              </w:rPr>
              <w:t>Rio Kurnia Candra, Imelda Atastina, Yanuar Firdaus</w:t>
            </w:r>
          </w:p>
        </w:tc>
      </w:tr>
      <w:tr w:rsidR="00B57396" w:rsidTr="005D1731">
        <w:tc>
          <w:tcPr>
            <w:tcW w:w="1525" w:type="dxa"/>
            <w:vAlign w:val="center"/>
          </w:tcPr>
          <w:p w:rsidR="00B57396" w:rsidRDefault="00B57396" w:rsidP="005D1731">
            <w:r>
              <w:t>Metode</w:t>
            </w:r>
          </w:p>
        </w:tc>
        <w:tc>
          <w:tcPr>
            <w:tcW w:w="7491" w:type="dxa"/>
          </w:tcPr>
          <w:p w:rsidR="00B57396" w:rsidRDefault="00407109" w:rsidP="005D1731">
            <w:r w:rsidRPr="00407109">
              <w:rPr>
                <w:i/>
              </w:rPr>
              <w:t>Framework</w:t>
            </w:r>
            <w:r>
              <w:t xml:space="preserve"> COBIT 5 </w:t>
            </w:r>
            <w:r w:rsidRPr="00BC1482">
              <w:rPr>
                <w:i/>
              </w:rPr>
              <w:t xml:space="preserve">Domain </w:t>
            </w:r>
            <w:r>
              <w:t>DSS (</w:t>
            </w:r>
            <w:r w:rsidRPr="00BC1482">
              <w:rPr>
                <w:i/>
              </w:rPr>
              <w:t>Delivery,Service and Support</w:t>
            </w:r>
            <w:r>
              <w:t>)</w:t>
            </w:r>
          </w:p>
        </w:tc>
      </w:tr>
      <w:tr w:rsidR="00B57396" w:rsidTr="005D1731">
        <w:tc>
          <w:tcPr>
            <w:tcW w:w="1525" w:type="dxa"/>
            <w:vAlign w:val="center"/>
          </w:tcPr>
          <w:p w:rsidR="00B57396" w:rsidRPr="002F3B88" w:rsidRDefault="00B57396" w:rsidP="005D1731">
            <w:pPr>
              <w:rPr>
                <w:i/>
              </w:rPr>
            </w:pPr>
            <w:r w:rsidRPr="002F3B88">
              <w:rPr>
                <w:i/>
              </w:rPr>
              <w:t>Input</w:t>
            </w:r>
          </w:p>
        </w:tc>
        <w:tc>
          <w:tcPr>
            <w:tcW w:w="7491" w:type="dxa"/>
          </w:tcPr>
          <w:p w:rsidR="00180FC4" w:rsidRPr="00180FC4" w:rsidRDefault="00180FC4" w:rsidP="00180FC4">
            <w:pPr>
              <w:spacing w:line="276" w:lineRule="auto"/>
              <w:rPr>
                <w:i/>
              </w:rPr>
            </w:pPr>
            <w:r>
              <w:t>Pada ta</w:t>
            </w:r>
            <w:r>
              <w:t xml:space="preserve">hap ini, dilakukannya kuesioner untuk mencari tanggapan -  tanggapan dari </w:t>
            </w:r>
            <w:r>
              <w:t>para res</w:t>
            </w:r>
            <w:r>
              <w:t xml:space="preserve">ponden mengenai kondisi ter kini yang ada pada Direktorat SISFO terkait </w:t>
            </w:r>
            <w:r>
              <w:t>dengan domain DSS (</w:t>
            </w:r>
            <w:r w:rsidRPr="00180FC4">
              <w:rPr>
                <w:i/>
              </w:rPr>
              <w:t>Deliver, Service and</w:t>
            </w:r>
          </w:p>
          <w:p w:rsidR="00B57396" w:rsidRDefault="00180FC4" w:rsidP="00180FC4">
            <w:pPr>
              <w:spacing w:line="276" w:lineRule="auto"/>
            </w:pPr>
            <w:r w:rsidRPr="00180FC4">
              <w:rPr>
                <w:i/>
              </w:rPr>
              <w:t>Support</w:t>
            </w:r>
            <w:r>
              <w:t xml:space="preserve">). Kuesioner ini berisikan pertanyaan – pertanyaan yang sesuai dengan proses – </w:t>
            </w:r>
            <w:r>
              <w:t>proses yan</w:t>
            </w:r>
            <w:r>
              <w:t>g ada pada Domain DSS (</w:t>
            </w:r>
            <w:r w:rsidRPr="00180FC4">
              <w:rPr>
                <w:i/>
              </w:rPr>
              <w:t xml:space="preserve">Deliver, </w:t>
            </w:r>
            <w:r w:rsidRPr="00180FC4">
              <w:rPr>
                <w:i/>
              </w:rPr>
              <w:t>Service and Support</w:t>
            </w:r>
            <w:r>
              <w:t>).</w:t>
            </w:r>
          </w:p>
        </w:tc>
      </w:tr>
      <w:tr w:rsidR="00B57396" w:rsidTr="005D1731">
        <w:tc>
          <w:tcPr>
            <w:tcW w:w="1525" w:type="dxa"/>
            <w:vAlign w:val="center"/>
          </w:tcPr>
          <w:p w:rsidR="00B57396" w:rsidRPr="002F3B88" w:rsidRDefault="00B57396" w:rsidP="005D1731">
            <w:pPr>
              <w:rPr>
                <w:i/>
              </w:rPr>
            </w:pPr>
            <w:r w:rsidRPr="002F3B88">
              <w:rPr>
                <w:i/>
              </w:rPr>
              <w:t>Output</w:t>
            </w:r>
          </w:p>
        </w:tc>
        <w:tc>
          <w:tcPr>
            <w:tcW w:w="7491" w:type="dxa"/>
          </w:tcPr>
          <w:p w:rsidR="00B57396" w:rsidRDefault="00180FC4" w:rsidP="005D1731">
            <w:r w:rsidRPr="002D091A">
              <w:t xml:space="preserve">Level </w:t>
            </w:r>
            <w:r w:rsidRPr="002D091A">
              <w:rPr>
                <w:i/>
                <w:iCs/>
              </w:rPr>
              <w:t xml:space="preserve">capability </w:t>
            </w:r>
            <w:r w:rsidRPr="002D091A">
              <w:t>keseluruhan yang</w:t>
            </w:r>
            <w:r>
              <w:t xml:space="preserve"> </w:t>
            </w:r>
            <w:r w:rsidRPr="002D091A">
              <w:t>diperoleh berdasarkan keseluruhan rata –</w:t>
            </w:r>
            <w:r>
              <w:t xml:space="preserve"> </w:t>
            </w:r>
            <w:r w:rsidRPr="002D091A">
              <w:t>rata adalah 3</w:t>
            </w:r>
          </w:p>
        </w:tc>
      </w:tr>
      <w:tr w:rsidR="00B57396" w:rsidTr="005D1731">
        <w:tc>
          <w:tcPr>
            <w:tcW w:w="1525" w:type="dxa"/>
            <w:vAlign w:val="center"/>
          </w:tcPr>
          <w:p w:rsidR="00B57396" w:rsidRDefault="00B57396" w:rsidP="005D1731">
            <w:r>
              <w:t>Kesimpulan</w:t>
            </w:r>
          </w:p>
        </w:tc>
        <w:tc>
          <w:tcPr>
            <w:tcW w:w="7491" w:type="dxa"/>
          </w:tcPr>
          <w:p w:rsidR="00B57396" w:rsidRPr="00DE5098" w:rsidRDefault="002D091A" w:rsidP="002D091A">
            <w:pPr>
              <w:spacing w:line="276" w:lineRule="auto"/>
              <w:jc w:val="both"/>
            </w:pPr>
            <w:r w:rsidRPr="002D091A">
              <w:t xml:space="preserve">Level </w:t>
            </w:r>
            <w:r w:rsidRPr="002D091A">
              <w:rPr>
                <w:i/>
                <w:iCs/>
              </w:rPr>
              <w:t xml:space="preserve">capability </w:t>
            </w:r>
            <w:r w:rsidRPr="002D091A">
              <w:t>keseluruhan yang</w:t>
            </w:r>
            <w:r>
              <w:t xml:space="preserve"> </w:t>
            </w:r>
            <w:r w:rsidRPr="002D091A">
              <w:t>diperoleh berdasarkan keseluruhan rata –</w:t>
            </w:r>
            <w:r>
              <w:t xml:space="preserve"> </w:t>
            </w:r>
            <w:r w:rsidRPr="002D091A">
              <w:t>rata adalah 3, yang berarti sebagian</w:t>
            </w:r>
            <w:r>
              <w:t xml:space="preserve"> besar aktiv</w:t>
            </w:r>
            <w:r w:rsidRPr="002D091A">
              <w:t>itas pada domain DSS untuk</w:t>
            </w:r>
            <w:r>
              <w:t xml:space="preserve"> </w:t>
            </w:r>
            <w:r w:rsidRPr="002D091A">
              <w:t>Direktorat SISFO Telkom University</w:t>
            </w:r>
            <w:r>
              <w:t xml:space="preserve"> </w:t>
            </w:r>
            <w:r w:rsidRPr="002D091A">
              <w:t>telah dilakukan, ada standar penerapan</w:t>
            </w:r>
            <w:r>
              <w:t xml:space="preserve"> </w:t>
            </w:r>
            <w:r w:rsidRPr="002D091A">
              <w:t>dalam melakukan proses tersebut,</w:t>
            </w:r>
            <w:r>
              <w:t xml:space="preserve"> tar dokumentasi dan </w:t>
            </w:r>
            <w:r w:rsidRPr="002D091A">
              <w:t>komunikasi berjalan</w:t>
            </w:r>
            <w:r>
              <w:t xml:space="preserve"> </w:t>
            </w:r>
            <w:r w:rsidRPr="002D091A">
              <w:t>dengan baik.</w:t>
            </w:r>
          </w:p>
        </w:tc>
      </w:tr>
    </w:tbl>
    <w:p w:rsidR="00B57396" w:rsidRDefault="00B57396" w:rsidP="00E3001E"/>
    <w:p w:rsidR="00B57396" w:rsidRDefault="00B57396" w:rsidP="00E3001E"/>
    <w:tbl>
      <w:tblPr>
        <w:tblStyle w:val="TableGrid"/>
        <w:tblW w:w="0" w:type="auto"/>
        <w:tblLook w:val="04A0" w:firstRow="1" w:lastRow="0" w:firstColumn="1" w:lastColumn="0" w:noHBand="0" w:noVBand="1"/>
      </w:tblPr>
      <w:tblGrid>
        <w:gridCol w:w="1525"/>
        <w:gridCol w:w="7491"/>
      </w:tblGrid>
      <w:tr w:rsidR="001F58E4" w:rsidTr="00104BA3">
        <w:tc>
          <w:tcPr>
            <w:tcW w:w="1525" w:type="dxa"/>
            <w:vAlign w:val="center"/>
          </w:tcPr>
          <w:p w:rsidR="001F58E4" w:rsidRDefault="001F58E4" w:rsidP="00104BA3">
            <w:r>
              <w:t>Judul</w:t>
            </w:r>
          </w:p>
        </w:tc>
        <w:tc>
          <w:tcPr>
            <w:tcW w:w="7491" w:type="dxa"/>
          </w:tcPr>
          <w:p w:rsidR="001F58E4" w:rsidRPr="001F58E4" w:rsidRDefault="001F58E4" w:rsidP="00104BA3">
            <w:pPr>
              <w:rPr>
                <w:b/>
              </w:rPr>
            </w:pPr>
            <w:r w:rsidRPr="001F58E4">
              <w:rPr>
                <w:b/>
              </w:rPr>
              <w:t xml:space="preserve">Penerapan </w:t>
            </w:r>
            <w:r w:rsidRPr="001F58E4">
              <w:rPr>
                <w:b/>
                <w:i/>
              </w:rPr>
              <w:t>Framework</w:t>
            </w:r>
            <w:r w:rsidRPr="001F58E4">
              <w:rPr>
                <w:b/>
              </w:rPr>
              <w:t xml:space="preserve"> COBIT 5 Pada Audit Tata Kelola Teknologi Informasi Di Dinas Komunikasi Dan Informatika Kabupaten Oku</w:t>
            </w:r>
          </w:p>
        </w:tc>
      </w:tr>
      <w:tr w:rsidR="001F58E4" w:rsidTr="00104BA3">
        <w:tc>
          <w:tcPr>
            <w:tcW w:w="1525" w:type="dxa"/>
            <w:vAlign w:val="center"/>
          </w:tcPr>
          <w:p w:rsidR="001F58E4" w:rsidRDefault="001F58E4" w:rsidP="00104BA3">
            <w:r>
              <w:t>Penulis</w:t>
            </w:r>
          </w:p>
        </w:tc>
        <w:tc>
          <w:tcPr>
            <w:tcW w:w="7491" w:type="dxa"/>
          </w:tcPr>
          <w:p w:rsidR="001F58E4" w:rsidRPr="00072076" w:rsidRDefault="001F58E4" w:rsidP="00104BA3">
            <w:pPr>
              <w:rPr>
                <w:b/>
              </w:rPr>
            </w:pPr>
            <w:r>
              <w:rPr>
                <w:b/>
              </w:rPr>
              <w:t>Sepita Sari, Syahril Rizal, Rusmala Santi</w:t>
            </w:r>
          </w:p>
        </w:tc>
      </w:tr>
      <w:tr w:rsidR="001F58E4" w:rsidTr="00104BA3">
        <w:tc>
          <w:tcPr>
            <w:tcW w:w="1525" w:type="dxa"/>
            <w:vAlign w:val="center"/>
          </w:tcPr>
          <w:p w:rsidR="001F58E4" w:rsidRDefault="001F58E4" w:rsidP="00104BA3">
            <w:r>
              <w:t>Metode</w:t>
            </w:r>
          </w:p>
        </w:tc>
        <w:tc>
          <w:tcPr>
            <w:tcW w:w="7491" w:type="dxa"/>
          </w:tcPr>
          <w:p w:rsidR="001F58E4" w:rsidRDefault="001F58E4" w:rsidP="001F58E4">
            <w:r w:rsidRPr="00407109">
              <w:rPr>
                <w:i/>
              </w:rPr>
              <w:t>Framework</w:t>
            </w:r>
            <w:r>
              <w:t xml:space="preserve"> COBIT 5 </w:t>
            </w:r>
            <w:r w:rsidRPr="00BC1482">
              <w:rPr>
                <w:i/>
              </w:rPr>
              <w:t xml:space="preserve">Domain </w:t>
            </w:r>
            <w:r>
              <w:t>MEA (</w:t>
            </w:r>
            <w:r>
              <w:rPr>
                <w:i/>
              </w:rPr>
              <w:t>Monitoring, Evaluate and Assess</w:t>
            </w:r>
            <w:r>
              <w:t>)</w:t>
            </w:r>
          </w:p>
        </w:tc>
      </w:tr>
      <w:tr w:rsidR="001F58E4" w:rsidTr="00104BA3">
        <w:tc>
          <w:tcPr>
            <w:tcW w:w="1525" w:type="dxa"/>
            <w:vAlign w:val="center"/>
          </w:tcPr>
          <w:p w:rsidR="001F58E4" w:rsidRPr="002F3B88" w:rsidRDefault="001F58E4" w:rsidP="00104BA3">
            <w:pPr>
              <w:rPr>
                <w:i/>
              </w:rPr>
            </w:pPr>
            <w:r w:rsidRPr="002F3B88">
              <w:rPr>
                <w:i/>
              </w:rPr>
              <w:t>Input</w:t>
            </w:r>
          </w:p>
        </w:tc>
        <w:tc>
          <w:tcPr>
            <w:tcW w:w="7491" w:type="dxa"/>
          </w:tcPr>
          <w:p w:rsidR="001F58E4" w:rsidRDefault="00A83A2D" w:rsidP="00A83A2D">
            <w:pPr>
              <w:spacing w:line="276" w:lineRule="auto"/>
            </w:pPr>
            <w:r>
              <w:t>Yang menjadi populasi pada penelitian ini adalah semua staf PNS di Dinas Komunikasi dan Informatika Kabupat</w:t>
            </w:r>
            <w:r>
              <w:t xml:space="preserve">en OKU yang berjumlah 50 orang. </w:t>
            </w:r>
            <w:r>
              <w:t>Untuk memperoleh sampel dari populasi yang ada digunakan model RACI (</w:t>
            </w:r>
            <w:r w:rsidRPr="00A83A2D">
              <w:rPr>
                <w:i/>
              </w:rPr>
              <w:t>Responsibility, Accountability, Consult, and Informed</w:t>
            </w:r>
            <w:r>
              <w:t>).</w:t>
            </w:r>
          </w:p>
        </w:tc>
      </w:tr>
      <w:tr w:rsidR="001F58E4" w:rsidTr="00104BA3">
        <w:tc>
          <w:tcPr>
            <w:tcW w:w="1525" w:type="dxa"/>
            <w:vAlign w:val="center"/>
          </w:tcPr>
          <w:p w:rsidR="001F58E4" w:rsidRPr="002F3B88" w:rsidRDefault="001F58E4" w:rsidP="00104BA3">
            <w:pPr>
              <w:rPr>
                <w:i/>
              </w:rPr>
            </w:pPr>
            <w:r w:rsidRPr="002F3B88">
              <w:rPr>
                <w:i/>
              </w:rPr>
              <w:t>Output</w:t>
            </w:r>
          </w:p>
        </w:tc>
        <w:tc>
          <w:tcPr>
            <w:tcW w:w="7491" w:type="dxa"/>
          </w:tcPr>
          <w:p w:rsidR="001F58E4" w:rsidRDefault="00703B8C" w:rsidP="00104BA3">
            <w:r w:rsidRPr="00703B8C">
              <w:t xml:space="preserve">Hasil seluruh atau tingkat model </w:t>
            </w:r>
            <w:r w:rsidRPr="00703B8C">
              <w:rPr>
                <w:i/>
              </w:rPr>
              <w:t>capability</w:t>
            </w:r>
            <w:r w:rsidRPr="00703B8C">
              <w:t xml:space="preserve"> skala penelitian penerapan </w:t>
            </w:r>
            <w:r w:rsidRPr="00703B8C">
              <w:rPr>
                <w:i/>
              </w:rPr>
              <w:t>framework</w:t>
            </w:r>
            <w:r w:rsidRPr="00703B8C">
              <w:t xml:space="preserve"> COBIT 5 pada audit tata kelola teknologi informasi di Dinas Komunikasi dan Informatika Kabupaten OKU yaitu skala 3 (</w:t>
            </w:r>
            <w:r w:rsidRPr="00703B8C">
              <w:rPr>
                <w:i/>
              </w:rPr>
              <w:t>established process</w:t>
            </w:r>
            <w:r w:rsidRPr="00703B8C">
              <w:t>) dengan nilai 3,18,</w:t>
            </w:r>
          </w:p>
        </w:tc>
      </w:tr>
      <w:tr w:rsidR="001F58E4" w:rsidTr="00104BA3">
        <w:tc>
          <w:tcPr>
            <w:tcW w:w="1525" w:type="dxa"/>
            <w:vAlign w:val="center"/>
          </w:tcPr>
          <w:p w:rsidR="001F58E4" w:rsidRDefault="001F58E4" w:rsidP="00104BA3">
            <w:r>
              <w:lastRenderedPageBreak/>
              <w:t>Kesimpulan</w:t>
            </w:r>
          </w:p>
        </w:tc>
        <w:tc>
          <w:tcPr>
            <w:tcW w:w="7491" w:type="dxa"/>
          </w:tcPr>
          <w:p w:rsidR="001F58E4" w:rsidRPr="00DE5098" w:rsidRDefault="001F58E4" w:rsidP="001011EB">
            <w:pPr>
              <w:spacing w:line="276" w:lineRule="auto"/>
            </w:pPr>
            <w:r>
              <w:t>Dinas Komunikasi dan Informatika Kabupaten Oku memiliki tingkat kematangan (</w:t>
            </w:r>
            <w:r w:rsidRPr="001F58E4">
              <w:rPr>
                <w:i/>
              </w:rPr>
              <w:t>Maturity Level</w:t>
            </w:r>
            <w:r>
              <w:t xml:space="preserve">) </w:t>
            </w:r>
            <w:r w:rsidR="001011EB">
              <w:t xml:space="preserve">Tata Kelola Teknologi Informasi </w:t>
            </w:r>
            <w:r>
              <w:t>pada skala 3 (</w:t>
            </w:r>
            <w:r w:rsidRPr="001F58E4">
              <w:rPr>
                <w:i/>
              </w:rPr>
              <w:t>established process</w:t>
            </w:r>
            <w:r>
              <w:t xml:space="preserve">) </w:t>
            </w:r>
            <w:r w:rsidRPr="001F58E4">
              <w:t>dengan nilai 3,18, yang artinya Dinas Komunikasi dan Informatika Kabupaten OKU ini sudah mengimplementasikan tata kelola Teknologi Informasi dengan menggunakan proses pelatihan yang telah ditentukan dalam renstra, dan sudah mencapai target yang diharapkan.</w:t>
            </w:r>
          </w:p>
        </w:tc>
      </w:tr>
    </w:tbl>
    <w:p w:rsidR="001F58E4" w:rsidRDefault="001F58E4" w:rsidP="00E3001E"/>
    <w:p w:rsidR="005608C7" w:rsidRDefault="005608C7" w:rsidP="00E3001E"/>
    <w:p w:rsidR="005608C7" w:rsidRDefault="005608C7">
      <w:pPr>
        <w:spacing w:before="0" w:after="160"/>
      </w:pPr>
    </w:p>
    <w:tbl>
      <w:tblPr>
        <w:tblStyle w:val="TableGrid"/>
        <w:tblW w:w="0" w:type="auto"/>
        <w:tblLook w:val="04A0" w:firstRow="1" w:lastRow="0" w:firstColumn="1" w:lastColumn="0" w:noHBand="0" w:noVBand="1"/>
      </w:tblPr>
      <w:tblGrid>
        <w:gridCol w:w="1525"/>
        <w:gridCol w:w="7491"/>
      </w:tblGrid>
      <w:tr w:rsidR="005608C7" w:rsidTr="002A170D">
        <w:tc>
          <w:tcPr>
            <w:tcW w:w="1525" w:type="dxa"/>
            <w:vAlign w:val="center"/>
          </w:tcPr>
          <w:p w:rsidR="005608C7" w:rsidRDefault="005608C7" w:rsidP="002A170D">
            <w:r>
              <w:t>Judul</w:t>
            </w:r>
          </w:p>
        </w:tc>
        <w:tc>
          <w:tcPr>
            <w:tcW w:w="7491" w:type="dxa"/>
          </w:tcPr>
          <w:p w:rsidR="005608C7" w:rsidRPr="00E80316" w:rsidRDefault="005608C7" w:rsidP="005608C7">
            <w:pPr>
              <w:rPr>
                <w:b/>
              </w:rPr>
            </w:pPr>
            <w:r w:rsidRPr="005608C7">
              <w:rPr>
                <w:b/>
              </w:rPr>
              <w:t xml:space="preserve">Audit </w:t>
            </w:r>
            <w:r w:rsidRPr="00E80316">
              <w:rPr>
                <w:b/>
                <w:i/>
              </w:rPr>
              <w:t>of</w:t>
            </w:r>
            <w:r w:rsidRPr="005608C7">
              <w:rPr>
                <w:b/>
              </w:rPr>
              <w:t xml:space="preserve"> IT </w:t>
            </w:r>
            <w:r w:rsidRPr="00E80316">
              <w:rPr>
                <w:b/>
                <w:i/>
              </w:rPr>
              <w:t xml:space="preserve">Governance Based on </w:t>
            </w:r>
            <w:r w:rsidRPr="00E80316">
              <w:rPr>
                <w:b/>
              </w:rPr>
              <w:t>COBIT 5</w:t>
            </w:r>
          </w:p>
          <w:p w:rsidR="005608C7" w:rsidRPr="001F58E4" w:rsidRDefault="005608C7" w:rsidP="005608C7">
            <w:pPr>
              <w:rPr>
                <w:b/>
              </w:rPr>
            </w:pPr>
            <w:r w:rsidRPr="00E80316">
              <w:rPr>
                <w:b/>
                <w:i/>
              </w:rPr>
              <w:t>Assessments: A Case Study</w:t>
            </w:r>
          </w:p>
        </w:tc>
      </w:tr>
      <w:tr w:rsidR="005608C7" w:rsidTr="002A170D">
        <w:tc>
          <w:tcPr>
            <w:tcW w:w="1525" w:type="dxa"/>
            <w:vAlign w:val="center"/>
          </w:tcPr>
          <w:p w:rsidR="005608C7" w:rsidRDefault="005608C7" w:rsidP="002A170D">
            <w:r>
              <w:t>Penulis</w:t>
            </w:r>
          </w:p>
        </w:tc>
        <w:tc>
          <w:tcPr>
            <w:tcW w:w="7491" w:type="dxa"/>
          </w:tcPr>
          <w:p w:rsidR="005608C7" w:rsidRPr="00072076" w:rsidRDefault="00E80316" w:rsidP="002A170D">
            <w:pPr>
              <w:rPr>
                <w:b/>
              </w:rPr>
            </w:pPr>
            <w:r w:rsidRPr="00E80316">
              <w:rPr>
                <w:b/>
              </w:rPr>
              <w:t>Johanes Fernandes Andry</w:t>
            </w:r>
          </w:p>
        </w:tc>
      </w:tr>
      <w:tr w:rsidR="005608C7" w:rsidTr="002A170D">
        <w:tc>
          <w:tcPr>
            <w:tcW w:w="1525" w:type="dxa"/>
            <w:vAlign w:val="center"/>
          </w:tcPr>
          <w:p w:rsidR="005608C7" w:rsidRDefault="005608C7" w:rsidP="002A170D">
            <w:r>
              <w:t>Metode</w:t>
            </w:r>
          </w:p>
        </w:tc>
        <w:tc>
          <w:tcPr>
            <w:tcW w:w="7491" w:type="dxa"/>
          </w:tcPr>
          <w:p w:rsidR="005608C7" w:rsidRDefault="005608C7" w:rsidP="00E80316">
            <w:r w:rsidRPr="00407109">
              <w:rPr>
                <w:i/>
              </w:rPr>
              <w:t>Framework</w:t>
            </w:r>
            <w:r>
              <w:t xml:space="preserve"> COBIT 5 </w:t>
            </w:r>
            <w:r w:rsidRPr="00BC1482">
              <w:rPr>
                <w:i/>
              </w:rPr>
              <w:t xml:space="preserve">Domain </w:t>
            </w:r>
            <w:r w:rsidR="00E80316">
              <w:t>DSS</w:t>
            </w:r>
            <w:r>
              <w:t xml:space="preserve"> (</w:t>
            </w:r>
            <w:r w:rsidR="00E80316">
              <w:rPr>
                <w:i/>
              </w:rPr>
              <w:t>Delivery</w:t>
            </w:r>
            <w:r>
              <w:rPr>
                <w:i/>
              </w:rPr>
              <w:t xml:space="preserve">, </w:t>
            </w:r>
            <w:r w:rsidR="00E80316">
              <w:rPr>
                <w:i/>
              </w:rPr>
              <w:t>Service and Support</w:t>
            </w:r>
            <w:r>
              <w:t>)</w:t>
            </w:r>
          </w:p>
        </w:tc>
      </w:tr>
      <w:tr w:rsidR="005608C7" w:rsidTr="002A170D">
        <w:tc>
          <w:tcPr>
            <w:tcW w:w="1525" w:type="dxa"/>
            <w:vAlign w:val="center"/>
          </w:tcPr>
          <w:p w:rsidR="005608C7" w:rsidRPr="002F3B88" w:rsidRDefault="005608C7" w:rsidP="002A170D">
            <w:pPr>
              <w:rPr>
                <w:i/>
              </w:rPr>
            </w:pPr>
            <w:r w:rsidRPr="002F3B88">
              <w:rPr>
                <w:i/>
              </w:rPr>
              <w:t>Input</w:t>
            </w:r>
          </w:p>
        </w:tc>
        <w:tc>
          <w:tcPr>
            <w:tcW w:w="7491" w:type="dxa"/>
          </w:tcPr>
          <w:p w:rsidR="005608C7" w:rsidRDefault="00703B8C" w:rsidP="00471BE4">
            <w:pPr>
              <w:spacing w:line="276" w:lineRule="auto"/>
            </w:pPr>
            <w:r>
              <w:t>data dapat diperoleh den</w:t>
            </w:r>
            <w:r w:rsidR="00471BE4">
              <w:t xml:space="preserve">gan berbagai metode, salah satunya yaitu kuesioner, </w:t>
            </w:r>
            <w:r>
              <w:t>dengan menyebarkan kuesioner ke setiap bagian m</w:t>
            </w:r>
            <w:r w:rsidR="00471BE4">
              <w:t>ilik manajemen yang berjumlah 5</w:t>
            </w:r>
            <w:r>
              <w:t>. Selain itu, kuesioner dibagikan kepada pengguna sejumlah 45 respon</w:t>
            </w:r>
            <w:r w:rsidR="00471BE4">
              <w:t>den, sehingga total keseluruhan r</w:t>
            </w:r>
            <w:r>
              <w:t>esponden yang diperoleh adalah 50.</w:t>
            </w:r>
          </w:p>
        </w:tc>
      </w:tr>
      <w:tr w:rsidR="00471BE4" w:rsidTr="002A170D">
        <w:tc>
          <w:tcPr>
            <w:tcW w:w="1525" w:type="dxa"/>
            <w:vAlign w:val="center"/>
          </w:tcPr>
          <w:p w:rsidR="00471BE4" w:rsidRPr="002F3B88" w:rsidRDefault="00471BE4" w:rsidP="00471BE4">
            <w:pPr>
              <w:rPr>
                <w:i/>
              </w:rPr>
            </w:pPr>
            <w:r w:rsidRPr="002F3B88">
              <w:rPr>
                <w:i/>
              </w:rPr>
              <w:t>Output</w:t>
            </w:r>
          </w:p>
        </w:tc>
        <w:tc>
          <w:tcPr>
            <w:tcW w:w="7491" w:type="dxa"/>
          </w:tcPr>
          <w:p w:rsidR="00471BE4" w:rsidRPr="00DE5098" w:rsidRDefault="00471BE4" w:rsidP="00471BE4">
            <w:pPr>
              <w:spacing w:line="276" w:lineRule="auto"/>
            </w:pPr>
            <w:r w:rsidRPr="00B80E85">
              <w:rPr>
                <w:i/>
              </w:rPr>
              <w:t xml:space="preserve">Capability Levels </w:t>
            </w:r>
            <w:r>
              <w:t>untuk setiap proses TI yang terdapat pada Domain DSS (</w:t>
            </w:r>
            <w:r w:rsidRPr="000F7EC9">
              <w:rPr>
                <w:i/>
              </w:rPr>
              <w:t>Delivery, Service and Support</w:t>
            </w:r>
            <w:r>
              <w:t>) berkisar 2.2 hingga 2.8 (</w:t>
            </w:r>
            <w:r w:rsidRPr="000F7EC9">
              <w:rPr>
                <w:i/>
              </w:rPr>
              <w:t>Managed Process</w:t>
            </w:r>
            <w:r>
              <w:t>)</w:t>
            </w:r>
          </w:p>
        </w:tc>
      </w:tr>
      <w:tr w:rsidR="00471BE4" w:rsidTr="002A170D">
        <w:tc>
          <w:tcPr>
            <w:tcW w:w="1525" w:type="dxa"/>
            <w:vAlign w:val="center"/>
          </w:tcPr>
          <w:p w:rsidR="00471BE4" w:rsidRDefault="00471BE4" w:rsidP="00471BE4">
            <w:r>
              <w:t>Kesimpulan</w:t>
            </w:r>
          </w:p>
        </w:tc>
        <w:tc>
          <w:tcPr>
            <w:tcW w:w="7491" w:type="dxa"/>
          </w:tcPr>
          <w:p w:rsidR="00471BE4" w:rsidRPr="00DE5098" w:rsidRDefault="00471BE4" w:rsidP="00471BE4">
            <w:pPr>
              <w:spacing w:line="276" w:lineRule="auto"/>
            </w:pPr>
            <w:r w:rsidRPr="00B80E85">
              <w:rPr>
                <w:i/>
              </w:rPr>
              <w:t xml:space="preserve">Capability Levels </w:t>
            </w:r>
            <w:r>
              <w:t>untuk setiap proses TI yang terdapat pada Domain DSS (</w:t>
            </w:r>
            <w:r w:rsidRPr="000F7EC9">
              <w:rPr>
                <w:i/>
              </w:rPr>
              <w:t>Delivery, Service and Support</w:t>
            </w:r>
            <w:r>
              <w:t>) berkisar 2.2 hingga 2.8 (</w:t>
            </w:r>
            <w:r w:rsidRPr="000F7EC9">
              <w:rPr>
                <w:i/>
              </w:rPr>
              <w:t>Managed Process</w:t>
            </w:r>
            <w:r>
              <w:t>), yang artinya proses tata kelola TI di Training Center memiliki pola yang berulang kali dilakukan.</w:t>
            </w:r>
          </w:p>
        </w:tc>
      </w:tr>
    </w:tbl>
    <w:p w:rsidR="005608C7" w:rsidRDefault="005608C7" w:rsidP="00E3001E"/>
    <w:p w:rsidR="005608C7" w:rsidRDefault="005608C7" w:rsidP="00E3001E"/>
    <w:tbl>
      <w:tblPr>
        <w:tblStyle w:val="TableGrid"/>
        <w:tblW w:w="0" w:type="auto"/>
        <w:tblLook w:val="04A0" w:firstRow="1" w:lastRow="0" w:firstColumn="1" w:lastColumn="0" w:noHBand="0" w:noVBand="1"/>
      </w:tblPr>
      <w:tblGrid>
        <w:gridCol w:w="1525"/>
        <w:gridCol w:w="7491"/>
      </w:tblGrid>
      <w:tr w:rsidR="005608C7" w:rsidTr="002A170D">
        <w:tc>
          <w:tcPr>
            <w:tcW w:w="1525" w:type="dxa"/>
            <w:vAlign w:val="center"/>
          </w:tcPr>
          <w:p w:rsidR="005608C7" w:rsidRDefault="005608C7" w:rsidP="002A170D">
            <w:r>
              <w:t>Judul</w:t>
            </w:r>
          </w:p>
        </w:tc>
        <w:tc>
          <w:tcPr>
            <w:tcW w:w="7491" w:type="dxa"/>
          </w:tcPr>
          <w:p w:rsidR="007068D8" w:rsidRPr="007068D8" w:rsidRDefault="007068D8" w:rsidP="007068D8">
            <w:pPr>
              <w:rPr>
                <w:b/>
              </w:rPr>
            </w:pPr>
            <w:r w:rsidRPr="007068D8">
              <w:rPr>
                <w:b/>
                <w:i/>
              </w:rPr>
              <w:t>Governance</w:t>
            </w:r>
            <w:r w:rsidRPr="007068D8">
              <w:rPr>
                <w:b/>
              </w:rPr>
              <w:t xml:space="preserve"> Audit </w:t>
            </w:r>
            <w:r w:rsidRPr="007068D8">
              <w:rPr>
                <w:b/>
                <w:i/>
              </w:rPr>
              <w:t>Of Application Procurement</w:t>
            </w:r>
          </w:p>
          <w:p w:rsidR="005608C7" w:rsidRPr="001F58E4" w:rsidRDefault="007068D8" w:rsidP="007068D8">
            <w:pPr>
              <w:rPr>
                <w:b/>
              </w:rPr>
            </w:pPr>
            <w:r w:rsidRPr="007068D8">
              <w:rPr>
                <w:b/>
                <w:i/>
              </w:rPr>
              <w:t xml:space="preserve">Using </w:t>
            </w:r>
            <w:r w:rsidRPr="007068D8">
              <w:rPr>
                <w:b/>
              </w:rPr>
              <w:t xml:space="preserve">COBIT </w:t>
            </w:r>
            <w:r w:rsidRPr="007068D8">
              <w:rPr>
                <w:b/>
                <w:i/>
              </w:rPr>
              <w:t>Framework</w:t>
            </w:r>
          </w:p>
        </w:tc>
      </w:tr>
      <w:tr w:rsidR="005608C7" w:rsidTr="002A170D">
        <w:tc>
          <w:tcPr>
            <w:tcW w:w="1525" w:type="dxa"/>
            <w:vAlign w:val="center"/>
          </w:tcPr>
          <w:p w:rsidR="005608C7" w:rsidRDefault="005608C7" w:rsidP="002A170D">
            <w:r>
              <w:t>Penulis</w:t>
            </w:r>
          </w:p>
        </w:tc>
        <w:tc>
          <w:tcPr>
            <w:tcW w:w="7491" w:type="dxa"/>
          </w:tcPr>
          <w:p w:rsidR="005608C7" w:rsidRPr="00072076" w:rsidRDefault="007068D8" w:rsidP="002A170D">
            <w:pPr>
              <w:rPr>
                <w:b/>
              </w:rPr>
            </w:pPr>
            <w:r>
              <w:rPr>
                <w:b/>
              </w:rPr>
              <w:t xml:space="preserve">Gusti Ayu Theresia Krisanthi, I Made Sukarsa, </w:t>
            </w:r>
            <w:r w:rsidRPr="007068D8">
              <w:rPr>
                <w:b/>
              </w:rPr>
              <w:t>i Putu Agung Bayupati</w:t>
            </w:r>
          </w:p>
        </w:tc>
      </w:tr>
      <w:tr w:rsidR="005608C7" w:rsidTr="002A170D">
        <w:tc>
          <w:tcPr>
            <w:tcW w:w="1525" w:type="dxa"/>
            <w:vAlign w:val="center"/>
          </w:tcPr>
          <w:p w:rsidR="005608C7" w:rsidRDefault="005608C7" w:rsidP="002A170D">
            <w:r>
              <w:t>Metode</w:t>
            </w:r>
          </w:p>
        </w:tc>
        <w:tc>
          <w:tcPr>
            <w:tcW w:w="7491" w:type="dxa"/>
          </w:tcPr>
          <w:p w:rsidR="005608C7" w:rsidRDefault="005608C7" w:rsidP="007068D8">
            <w:r w:rsidRPr="00407109">
              <w:rPr>
                <w:i/>
              </w:rPr>
              <w:t>Framework</w:t>
            </w:r>
            <w:r>
              <w:t xml:space="preserve"> COBIT </w:t>
            </w:r>
            <w:r w:rsidR="007068D8">
              <w:t>4.1</w:t>
            </w:r>
            <w:bookmarkStart w:id="0" w:name="_GoBack"/>
            <w:bookmarkEnd w:id="0"/>
          </w:p>
        </w:tc>
      </w:tr>
      <w:tr w:rsidR="005608C7" w:rsidTr="002A170D">
        <w:tc>
          <w:tcPr>
            <w:tcW w:w="1525" w:type="dxa"/>
            <w:vAlign w:val="center"/>
          </w:tcPr>
          <w:p w:rsidR="005608C7" w:rsidRPr="002F3B88" w:rsidRDefault="005608C7" w:rsidP="002A170D">
            <w:pPr>
              <w:rPr>
                <w:i/>
              </w:rPr>
            </w:pPr>
            <w:r w:rsidRPr="002F3B88">
              <w:rPr>
                <w:i/>
              </w:rPr>
              <w:lastRenderedPageBreak/>
              <w:t>Input</w:t>
            </w:r>
          </w:p>
        </w:tc>
        <w:tc>
          <w:tcPr>
            <w:tcW w:w="7491" w:type="dxa"/>
          </w:tcPr>
          <w:p w:rsidR="005608C7" w:rsidRDefault="00471BE4" w:rsidP="00027059">
            <w:pPr>
              <w:spacing w:line="276" w:lineRule="auto"/>
            </w:pPr>
            <w:r>
              <w:t>H</w:t>
            </w:r>
            <w:r>
              <w:t xml:space="preserve">asil </w:t>
            </w:r>
            <w:r>
              <w:t xml:space="preserve">kuesioner </w:t>
            </w:r>
            <w:r>
              <w:t xml:space="preserve">digunakan sebagai sumber </w:t>
            </w:r>
            <w:r>
              <w:t xml:space="preserve">data untuk mengukur bagaimana </w:t>
            </w:r>
            <w:r>
              <w:t>tingk</w:t>
            </w:r>
            <w:r>
              <w:t xml:space="preserve">at kematangan aplikasi jasa pengadaan saat ini dan menentukan </w:t>
            </w:r>
            <w:r>
              <w:t>target kematangan</w:t>
            </w:r>
            <w:r w:rsidR="00027059">
              <w:t xml:space="preserve"> yang di harapkan.</w:t>
            </w:r>
          </w:p>
        </w:tc>
      </w:tr>
      <w:tr w:rsidR="005608C7" w:rsidTr="002A170D">
        <w:tc>
          <w:tcPr>
            <w:tcW w:w="1525" w:type="dxa"/>
            <w:vAlign w:val="center"/>
          </w:tcPr>
          <w:p w:rsidR="005608C7" w:rsidRPr="002F3B88" w:rsidRDefault="005608C7" w:rsidP="002A170D">
            <w:pPr>
              <w:rPr>
                <w:i/>
              </w:rPr>
            </w:pPr>
            <w:r w:rsidRPr="002F3B88">
              <w:rPr>
                <w:i/>
              </w:rPr>
              <w:t>Output</w:t>
            </w:r>
          </w:p>
        </w:tc>
        <w:tc>
          <w:tcPr>
            <w:tcW w:w="7491" w:type="dxa"/>
          </w:tcPr>
          <w:p w:rsidR="005608C7" w:rsidRDefault="00027059" w:rsidP="00027059">
            <w:r>
              <w:t>T</w:t>
            </w:r>
            <w:r>
              <w:t>ingkat kematangan</w:t>
            </w:r>
            <w:r>
              <w:t xml:space="preserve"> pada proses TI </w:t>
            </w:r>
            <w:r>
              <w:t xml:space="preserve">aplikasi </w:t>
            </w:r>
            <w:r>
              <w:t xml:space="preserve">pengadaan di universitas adalah </w:t>
            </w:r>
            <w:r>
              <w:t xml:space="preserve">tingkat kematangan rata-rata 3 </w:t>
            </w:r>
            <w:r>
              <w:t>(</w:t>
            </w:r>
            <w:r w:rsidRPr="00027059">
              <w:rPr>
                <w:i/>
              </w:rPr>
              <w:t>Defined</w:t>
            </w:r>
            <w:r>
              <w:t>)</w:t>
            </w:r>
          </w:p>
        </w:tc>
      </w:tr>
      <w:tr w:rsidR="005608C7" w:rsidTr="002A170D">
        <w:tc>
          <w:tcPr>
            <w:tcW w:w="1525" w:type="dxa"/>
            <w:vAlign w:val="center"/>
          </w:tcPr>
          <w:p w:rsidR="005608C7" w:rsidRDefault="005608C7" w:rsidP="002A170D">
            <w:r>
              <w:t>Kesimpulan</w:t>
            </w:r>
          </w:p>
        </w:tc>
        <w:tc>
          <w:tcPr>
            <w:tcW w:w="7491" w:type="dxa"/>
          </w:tcPr>
          <w:p w:rsidR="005608C7" w:rsidRPr="00DE5098" w:rsidRDefault="007068D8" w:rsidP="007068D8">
            <w:pPr>
              <w:spacing w:line="276" w:lineRule="auto"/>
            </w:pPr>
            <w:r>
              <w:t>Ada 15 proses IT COBIT 4.1 selaras dengan tujuan dan sasaran dari bisnis pengadaan aplikasi dan 8 proses dianggap memiliki tingkat yang sangat tinggi dan penting dari responden, termasuk PO2, PO3, AI2, AI5, AI7, DS4, DS7 dan DS11.</w:t>
            </w:r>
          </w:p>
        </w:tc>
      </w:tr>
    </w:tbl>
    <w:p w:rsidR="005608C7" w:rsidRPr="00E3001E" w:rsidRDefault="005608C7" w:rsidP="00E3001E"/>
    <w:sectPr w:rsidR="005608C7" w:rsidRPr="00E300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F225A"/>
    <w:multiLevelType w:val="hybridMultilevel"/>
    <w:tmpl w:val="B0321F66"/>
    <w:lvl w:ilvl="0" w:tplc="F168D684">
      <w:start w:val="1"/>
      <w:numFmt w:val="upperRoman"/>
      <w:lvlText w:val="BAB %1"/>
      <w:lvlJc w:val="center"/>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nsid w:val="1EC81326"/>
    <w:multiLevelType w:val="multilevel"/>
    <w:tmpl w:val="E3AA79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EA93BCD"/>
    <w:multiLevelType w:val="multilevel"/>
    <w:tmpl w:val="EBE442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F981AA9"/>
    <w:multiLevelType w:val="hybridMultilevel"/>
    <w:tmpl w:val="60B807E4"/>
    <w:lvl w:ilvl="0" w:tplc="01F2F1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58D12A3"/>
    <w:multiLevelType w:val="multilevel"/>
    <w:tmpl w:val="E8EE740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FA96BAC"/>
    <w:multiLevelType w:val="hybridMultilevel"/>
    <w:tmpl w:val="D8FA9272"/>
    <w:lvl w:ilvl="0" w:tplc="65DC2658">
      <w:start w:val="1"/>
      <w:numFmt w:val="upperRoman"/>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21231DA"/>
    <w:multiLevelType w:val="hybridMultilevel"/>
    <w:tmpl w:val="818AF6CA"/>
    <w:lvl w:ilvl="0" w:tplc="8BA0DFE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44B6519"/>
    <w:multiLevelType w:val="multilevel"/>
    <w:tmpl w:val="816A37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A6857B6"/>
    <w:multiLevelType w:val="hybridMultilevel"/>
    <w:tmpl w:val="9D08DC88"/>
    <w:lvl w:ilvl="0" w:tplc="037856A4">
      <w:start w:val="1"/>
      <w:numFmt w:val="upperRoman"/>
      <w:lvlText w:val="BAB %1"/>
      <w:lvlJc w:val="center"/>
      <w:pPr>
        <w:ind w:left="63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7"/>
  </w:num>
  <w:num w:numId="2">
    <w:abstractNumId w:val="2"/>
  </w:num>
  <w:num w:numId="3">
    <w:abstractNumId w:val="7"/>
  </w:num>
  <w:num w:numId="4">
    <w:abstractNumId w:val="3"/>
  </w:num>
  <w:num w:numId="5">
    <w:abstractNumId w:val="4"/>
  </w:num>
  <w:num w:numId="6">
    <w:abstractNumId w:val="4"/>
  </w:num>
  <w:num w:numId="7">
    <w:abstractNumId w:val="8"/>
  </w:num>
  <w:num w:numId="8">
    <w:abstractNumId w:val="4"/>
  </w:num>
  <w:num w:numId="9">
    <w:abstractNumId w:val="1"/>
  </w:num>
  <w:num w:numId="10">
    <w:abstractNumId w:val="8"/>
  </w:num>
  <w:num w:numId="11">
    <w:abstractNumId w:val="6"/>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1E"/>
    <w:rsid w:val="00027059"/>
    <w:rsid w:val="00072076"/>
    <w:rsid w:val="000C0A9A"/>
    <w:rsid w:val="000F7EC9"/>
    <w:rsid w:val="001011EB"/>
    <w:rsid w:val="00172C71"/>
    <w:rsid w:val="00180FC4"/>
    <w:rsid w:val="001F58E4"/>
    <w:rsid w:val="00210BA1"/>
    <w:rsid w:val="00234D65"/>
    <w:rsid w:val="002C3E93"/>
    <w:rsid w:val="002D091A"/>
    <w:rsid w:val="002F3B88"/>
    <w:rsid w:val="0034615B"/>
    <w:rsid w:val="0036707D"/>
    <w:rsid w:val="00403266"/>
    <w:rsid w:val="00407109"/>
    <w:rsid w:val="00471BE4"/>
    <w:rsid w:val="004C6ACD"/>
    <w:rsid w:val="005527D1"/>
    <w:rsid w:val="005608C7"/>
    <w:rsid w:val="005F2085"/>
    <w:rsid w:val="00703B8C"/>
    <w:rsid w:val="007068D8"/>
    <w:rsid w:val="007577AA"/>
    <w:rsid w:val="007D6E35"/>
    <w:rsid w:val="008501D7"/>
    <w:rsid w:val="008B6CA5"/>
    <w:rsid w:val="00960BCA"/>
    <w:rsid w:val="009E014B"/>
    <w:rsid w:val="00A51DAA"/>
    <w:rsid w:val="00A7201E"/>
    <w:rsid w:val="00A83A2D"/>
    <w:rsid w:val="00AD3CEE"/>
    <w:rsid w:val="00B57396"/>
    <w:rsid w:val="00B80E85"/>
    <w:rsid w:val="00B84DE3"/>
    <w:rsid w:val="00B96FE7"/>
    <w:rsid w:val="00BC1482"/>
    <w:rsid w:val="00BE376B"/>
    <w:rsid w:val="00BF6226"/>
    <w:rsid w:val="00C20E77"/>
    <w:rsid w:val="00CB389C"/>
    <w:rsid w:val="00CD32E7"/>
    <w:rsid w:val="00D326C8"/>
    <w:rsid w:val="00DA0B51"/>
    <w:rsid w:val="00DA6ACC"/>
    <w:rsid w:val="00DB32BA"/>
    <w:rsid w:val="00DE5098"/>
    <w:rsid w:val="00E3001E"/>
    <w:rsid w:val="00E80316"/>
    <w:rsid w:val="00EC26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ADA86-6094-4DBB-8599-BBFB337B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6B2"/>
    <w:pPr>
      <w:spacing w:before="120" w:after="120"/>
    </w:pPr>
    <w:rPr>
      <w:rFonts w:ascii="Times New Roman" w:hAnsi="Times New Roman"/>
      <w:sz w:val="24"/>
    </w:rPr>
  </w:style>
  <w:style w:type="paragraph" w:styleId="Heading1">
    <w:name w:val="heading 1"/>
    <w:aliases w:val="BAB"/>
    <w:basedOn w:val="Normal"/>
    <w:next w:val="Normal"/>
    <w:link w:val="Heading1Char"/>
    <w:autoRedefine/>
    <w:uiPriority w:val="9"/>
    <w:qFormat/>
    <w:rsid w:val="00E3001E"/>
    <w:pPr>
      <w:keepNext/>
      <w:keepLines/>
      <w:spacing w:before="240" w:after="0"/>
      <w:ind w:left="720"/>
      <w:jc w:val="center"/>
      <w:outlineLvl w:val="0"/>
    </w:pPr>
    <w:rPr>
      <w:rFonts w:eastAsiaTheme="majorEastAsia" w:cstheme="majorBidi"/>
      <w:b/>
      <w:caps/>
      <w:color w:val="000000" w:themeColor="text1"/>
      <w:sz w:val="28"/>
      <w:szCs w:val="32"/>
    </w:rPr>
  </w:style>
  <w:style w:type="paragraph" w:styleId="Heading2">
    <w:name w:val="heading 2"/>
    <w:aliases w:val="sub BAB"/>
    <w:basedOn w:val="Normal"/>
    <w:next w:val="Normal"/>
    <w:link w:val="Heading2Char"/>
    <w:autoRedefine/>
    <w:uiPriority w:val="9"/>
    <w:unhideWhenUsed/>
    <w:qFormat/>
    <w:rsid w:val="007577AA"/>
    <w:pPr>
      <w:keepNext/>
      <w:keepLines/>
      <w:numPr>
        <w:ilvl w:val="1"/>
        <w:numId w:val="8"/>
      </w:numPr>
      <w:spacing w:before="40" w:after="0"/>
      <w:ind w:left="540" w:hanging="540"/>
      <w:outlineLvl w:val="1"/>
    </w:pPr>
    <w:rPr>
      <w:rFonts w:eastAsiaTheme="majorEastAsia" w:cstheme="majorBidi"/>
      <w:b/>
      <w:color w:val="000000" w:themeColor="text1"/>
      <w:sz w:val="28"/>
      <w:szCs w:val="26"/>
    </w:rPr>
  </w:style>
  <w:style w:type="paragraph" w:styleId="Heading3">
    <w:name w:val="heading 3"/>
    <w:aliases w:val="sub"/>
    <w:basedOn w:val="Normal"/>
    <w:next w:val="Normal"/>
    <w:link w:val="Heading3Char"/>
    <w:autoRedefine/>
    <w:uiPriority w:val="9"/>
    <w:unhideWhenUsed/>
    <w:qFormat/>
    <w:rsid w:val="007577AA"/>
    <w:pPr>
      <w:keepNext/>
      <w:keepLines/>
      <w:numPr>
        <w:ilvl w:val="2"/>
        <w:numId w:val="5"/>
      </w:numPr>
      <w:spacing w:before="40" w:after="0"/>
      <w:ind w:left="540" w:hanging="5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E3001E"/>
    <w:rPr>
      <w:rFonts w:ascii="Times New Roman" w:eastAsiaTheme="majorEastAsia" w:hAnsi="Times New Roman" w:cstheme="majorBidi"/>
      <w:b/>
      <w:caps/>
      <w:color w:val="000000" w:themeColor="text1"/>
      <w:sz w:val="28"/>
      <w:szCs w:val="32"/>
    </w:rPr>
  </w:style>
  <w:style w:type="character" w:customStyle="1" w:styleId="Heading3Char">
    <w:name w:val="Heading 3 Char"/>
    <w:aliases w:val="sub Char"/>
    <w:basedOn w:val="DefaultParagraphFont"/>
    <w:link w:val="Heading3"/>
    <w:uiPriority w:val="9"/>
    <w:rsid w:val="007577AA"/>
    <w:rPr>
      <w:rFonts w:ascii="Times New Roman" w:eastAsiaTheme="majorEastAsia" w:hAnsi="Times New Roman" w:cstheme="majorBidi"/>
      <w:b/>
      <w:color w:val="000000" w:themeColor="text1"/>
      <w:sz w:val="24"/>
      <w:szCs w:val="24"/>
    </w:rPr>
  </w:style>
  <w:style w:type="character" w:customStyle="1" w:styleId="Heading2Char">
    <w:name w:val="Heading 2 Char"/>
    <w:aliases w:val="sub BAB Char"/>
    <w:basedOn w:val="DefaultParagraphFont"/>
    <w:link w:val="Heading2"/>
    <w:uiPriority w:val="9"/>
    <w:rsid w:val="007577AA"/>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E300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68EC3-F7CF-46B1-9F01-90DC0C46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ibag</dc:creator>
  <cp:keywords/>
  <dc:description/>
  <cp:lastModifiedBy>ibag</cp:lastModifiedBy>
  <cp:revision>13</cp:revision>
  <dcterms:created xsi:type="dcterms:W3CDTF">2018-10-31T14:10:00Z</dcterms:created>
  <dcterms:modified xsi:type="dcterms:W3CDTF">2018-11-06T23:18:00Z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sujatmiko22.bi@gmail.com@www.mendeley.com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