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E75B6"/>
          <w:sz w:val="20"/>
          <w:szCs w:val="20"/>
        </w:rPr>
        <w:t xml:space="preserve">DOCUMENT 1 OF 4 — FOUNDING DOCUMENTS</w:t>
      </w:r>
    </w:p>
    <w:p>
      <w:pPr>
        <w:spacing w:after="100"/>
      </w:pPr>
      <w:r>
        <w:rPr>
          <w:rFonts w:ascii="Arial" w:cs="Arial" w:eastAsia="Arial" w:hAnsi="Arial"/>
          <w:b/>
          <w:bCs/>
          <w:color w:val="1F2D50"/>
          <w:sz w:val="48"/>
          <w:szCs w:val="48"/>
        </w:rPr>
        <w:t xml:space="preserve">Vision &amp; Strategy</w:t>
      </w:r>
    </w:p>
    <w:p>
      <w:pPr>
        <w:pBdr>
          <w:bottom w:val="single" w:color="2E75B6" w:sz="6" w:space="8"/>
        </w:pBdr>
        <w:spacing w:after="200"/>
      </w:pPr>
      <w:r>
        <w:rPr>
          <w:rFonts w:ascii="Arial" w:cs="Arial" w:eastAsia="Arial" w:hAnsi="Arial"/>
          <w:i/>
          <w:iCs/>
          <w:color w:val="595959"/>
          <w:sz w:val="24"/>
          <w:szCs w:val="24"/>
        </w:rPr>
        <w:t xml:space="preserve">What we are building, for whom, and why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3182"/>
        <w:gridCol w:w="1498"/>
        <w:gridCol w:w="3182"/>
      </w:tblGrid>
      <w:tr>
        <w:tc>
          <w:tcPr>
            <w:tcW w:type="dxa" w:w="1498"/>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sz w:val="20"/>
                <w:szCs w:val="20"/>
              </w:rPr>
              <w:t xml:space="preserve">Prepared by</w:t>
            </w:r>
          </w:p>
        </w:tc>
        <w:tc>
          <w:tcPr>
            <w:tcW w:type="dxa" w:w="31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[Your name], CEO</w:t>
            </w:r>
          </w:p>
        </w:tc>
        <w:tc>
          <w:tcPr>
            <w:tcW w:type="dxa" w:w="1498"/>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sz w:val="20"/>
                <w:szCs w:val="20"/>
              </w:rPr>
              <w:t xml:space="preserve">Date</w:t>
            </w:r>
          </w:p>
        </w:tc>
        <w:tc>
          <w:tcPr>
            <w:tcW w:type="dxa" w:w="31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[DD Month YYYY]</w:t>
            </w:r>
          </w:p>
        </w:tc>
      </w:tr>
      <w:tr>
        <w:tc>
          <w:tcPr>
            <w:tcW w:type="dxa" w:w="1498"/>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sz w:val="20"/>
                <w:szCs w:val="20"/>
              </w:rPr>
              <w:t xml:space="preserve">Status</w:t>
            </w:r>
          </w:p>
        </w:tc>
        <w:tc>
          <w:tcPr>
            <w:tcW w:type="dxa" w:w="31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Draft</w:t>
            </w:r>
          </w:p>
        </w:tc>
        <w:tc>
          <w:tcPr>
            <w:tcW w:type="dxa" w:w="1498"/>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sz w:val="20"/>
                <w:szCs w:val="20"/>
              </w:rPr>
              <w:t xml:space="preserve">Version</w:t>
            </w:r>
          </w:p>
        </w:tc>
        <w:tc>
          <w:tcPr>
            <w:tcW w:type="dxa" w:w="31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v0.1</w:t>
            </w:r>
          </w:p>
        </w:tc>
      </w:tr>
    </w:tbl>
    <w:p>
      <w:pPr>
        <w:pStyle w:val="Heading1"/>
      </w:pPr>
      <w:r>
        <w:t xml:space="preserve">1. The problem</w:t>
      </w:r>
    </w:p>
    <w:p>
      <w:pPr>
        <w:spacing w:after="160"/>
      </w:pPr>
      <w:r>
        <w:rPr>
          <w:b w:val="false"/>
          <w:bCs w:val="false"/>
          <w:i w:val="false"/>
          <w:iCs w:val="false"/>
          <w:sz w:val="22"/>
          <w:szCs w:val="22"/>
        </w:rPr>
        <w:t xml:space="preserve">Most retail traders in index options and futures don't blow up their accounts because they can't read a chart — they blow up because of behavioral leakage: the gap between the plan they had and what they actually do under pressure. A trader takes a third trade after two losses to "win it back." A trader doesn't know how many points of stop-loss their risk budget actually allows on Bank Nifty versus Nifty, so they oversize without realizing it. A trader has a vague sense they're "about even for the month" because no one is forcing them to write down or look at the real numbers.</w:t>
      </w:r>
    </w:p>
    <w:p>
      <w:pPr>
        <w:spacing w:after="160"/>
      </w:pPr>
      <w:r>
        <w:rPr>
          <w:b w:val="false"/>
          <w:bCs w:val="false"/>
          <w:i w:val="false"/>
          <w:iCs w:val="false"/>
          <w:sz w:val="22"/>
          <w:szCs w:val="22"/>
        </w:rPr>
        <w:t xml:space="preserve">This is real and well documented: the behavioral-finance and trading-psychology literature consistently finds that execution discipline — not analytical skill — is the dominant driver of retail trading outcomes. Existing tools mostly serve the analysis half of trading (charting, screeners, backtesting) and leave the discipline half to willpower.</w:t>
      </w:r>
    </w:p>
    <w:p>
      <w:pPr>
        <w:pStyle w:val="Heading1"/>
      </w:pPr>
      <w:r>
        <w:t xml:space="preserve">2. Why now</w:t>
      </w:r>
    </w:p>
    <w:p>
      <w:pPr>
        <w:spacing w:after="160"/>
      </w:pPr>
      <w:r>
        <w:rPr>
          <w:b w:val="false"/>
          <w:bCs w:val="false"/>
          <w:i w:val="false"/>
          <w:iCs w:val="false"/>
          <w:sz w:val="22"/>
          <w:szCs w:val="22"/>
        </w:rPr>
        <w:t xml:space="preserve">Three things have shifted. First, retail options and futures participation in India has grown sharply over the last several years, pulling in large numbers of self-directed traders with no institutional risk framework around them. Second, the explosion of trading "finfluencer" content has normalized chasing tips and strategies without any accompanying structure for position sizing or daily loss limits — creating exactly the gap this product fills. Third, building a tool like this is now genuinely feasible for a small or solo team: modern lightweight web stacks make it possible to ship a fully working risk-management and journaling product without the infrastructure cost that would have been required even five years ago.</w:t>
      </w:r>
    </w:p>
    <w:p>
      <w:pPr>
        <w:pStyle w:val="Heading1"/>
      </w:pPr>
      <w:r>
        <w:t xml:space="preserve">3. Our solution, at a glance</w:t>
      </w:r>
    </w:p>
    <w:p>
      <w:pPr>
        <w:spacing w:after="160"/>
      </w:pPr>
      <w:r>
        <w:rPr>
          <w:b w:val="false"/>
          <w:bCs w:val="false"/>
          <w:i w:val="false"/>
          <w:iCs w:val="false"/>
          <w:sz w:val="22"/>
          <w:szCs w:val="22"/>
        </w:rPr>
        <w:t xml:space="preserve">1CrTrader is a discipline layer for retail options and futures traders. A trader sets up their capital tier once, and the app enforces — not just suggests — a daily risk budget: a maximum number of trades per day, a maximum rupee loss per day, and an automatic "kill switch" that locks further trading once a profit is locked in or a loss threshold is breached. On top of that enforcement layer sits a trading journal, a capital growth roadmap with honest math about win rates, and (in progress) a vetted signal marketplace and strategy-sharing hub. The pitch in one line: most apps help you find a trade; 1CrTrader helps you not destroy your account after you've found it.</w:t>
      </w:r>
    </w:p>
    <w:p>
      <w:pPr>
        <w:pStyle w:val="Heading1"/>
      </w:pPr>
      <w:r>
        <w:t xml:space="preserve">4. Who it's for</w:t>
      </w:r>
    </w:p>
    <w:p>
      <w:pPr>
        <w:pStyle w:val="Heading2"/>
      </w:pPr>
      <w:r>
        <w:t xml:space="preserve">4.1 Primary target user</w:t>
      </w:r>
    </w:p>
    <w:p>
      <w:pPr>
        <w:spacing w:after="160"/>
      </w:pPr>
      <w:r>
        <w:rPr>
          <w:b w:val="false"/>
          <w:bCs w:val="false"/>
          <w:i w:val="false"/>
          <w:iCs w:val="false"/>
          <w:sz w:val="22"/>
          <w:szCs w:val="22"/>
        </w:rPr>
        <w:t xml:space="preserve">Self-directed retail traders in India trading index options (Nifty, Bank Nifty, FinNifty, Sensex) intraday or short-swing, with account sizes from roughly ₹25,000 up to ₹20,00,000 — i.e. traders for whom a single bad day is a meaningful percentage of their capital, but who are not yet operating with institutional-grade risk controls.</w:t>
      </w:r>
    </w:p>
    <w:p>
      <w:pPr>
        <w:pStyle w:val="Heading2"/>
      </w:pPr>
      <w:r>
        <w:t xml:space="preserve">4.2 Why this group specifically</w:t>
      </w:r>
    </w:p>
    <w:p>
      <w:pPr>
        <w:spacing w:after="160"/>
      </w:pPr>
      <w:r>
        <w:rPr>
          <w:b w:val="false"/>
          <w:bCs w:val="false"/>
          <w:i w:val="false"/>
          <w:iCs w:val="false"/>
          <w:sz w:val="22"/>
          <w:szCs w:val="22"/>
        </w:rPr>
        <w:t xml:space="preserve">This group feels the problem most acutely and most frequently: options decay fast, leverage is high relative to capital, and the 2-trades-a-day / hard-stop-loss discipline that professional risk desks take for granted is almost entirely absent from the retail tooling available to them today. They are also highly reachable through existing trading communities, Telegram/Discord groups, and the same finfluencer channels that currently sell them tips without structure — the same channel can become the channel that sells discipline instead.</w:t>
      </w:r>
    </w:p>
    <w:p>
      <w:pPr>
        <w:pStyle w:val="Heading1"/>
      </w:pPr>
      <w:r>
        <w:t xml:space="preserve">5. Why us</w:t>
      </w:r>
    </w:p>
    <w:p>
      <w:pPr>
        <w:spacing w:after="160"/>
      </w:pPr>
      <w:r>
        <w:rPr>
          <w:b w:val="false"/>
          <w:bCs w:val="false"/>
          <w:i w:val="false"/>
          <w:iCs w:val="false"/>
          <w:sz w:val="22"/>
          <w:szCs w:val="22"/>
        </w:rPr>
        <w:t xml:space="preserve">The founding insight came directly from designing the actual rule system traders need — tier-based capital ladders, per-instrument points stop-loss derived from a fixed rupee risk budget, and a kill-switch sequence (profit-lock, 75% soft-block, 100% hard-stop) detailed enough to survive contact with real trading days, including edge cases like backfilling a missed day or multiple trades on the same instrument. That level of rule precision is hard to fake after the fact; it comes from having actually sat down and worked through how a trader behaves hour to hour, not from a generic "risk management app" brief. [Add your personal trading background, network, or other unfair advantage here.]</w:t>
      </w:r>
    </w:p>
    <w:p>
      <w:pPr>
        <w:pStyle w:val="Heading1"/>
      </w:pPr>
      <w:r>
        <w:t xml:space="preserve">6. Vision — 1 / 3 / 5 year horizon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r>
              <w:rPr>
                <w:b/>
                <w:bCs/>
                <w:sz w:val="20"/>
                <w:szCs w:val="20"/>
              </w:rPr>
              <w:t xml:space="preserve">Horizon</w:t>
            </w:r>
          </w:p>
        </w:tc>
        <w:tc>
          <w:tcPr>
            <w:tcW w:type="dxa" w:w="7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r>
              <w:rPr>
                <w:b/>
                <w:bCs/>
                <w:sz w:val="20"/>
                <w:szCs w:val="20"/>
              </w:rPr>
              <w:t xml:space="preserve">What success looks like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Year 1</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Core risk-enforcement tool, journal, and roadmap live and in daily use by an initial cohort of retail options traders; clear evidence that users who adopt the daily limits tool show fewer max-loss-breach days over time.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Year 3</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Signal marketplace and strategy-sharing hub fully live with a track record of vetted, self-reported trader performance; subscription tiers (Small/Medium/Large/Pro) generating durable recurring revenue; recognized as the default discipline layer for Indian retail options traders.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Year 5</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On the way to the "1 crore traders" ambition that gave the company its name — a platform of record that any serious retail options trader in India is expected to run their daily risk through, with measurable, published evidence that disciplined users outperform undisciplined ones over time.</w:t>
            </w:r>
          </w:p>
        </w:tc>
      </w:tr>
    </w:tbl>
    <w:p>
      <w:pPr>
        <w:pStyle w:val="Heading1"/>
      </w:pPr>
      <w:r>
        <w:t xml:space="preserve">7. Strategic priorities (this year's OKRs)</w:t>
      </w:r>
    </w:p>
    <w:p>
      <w:pPr>
        <w:pStyle w:val="Heading2"/>
      </w:pPr>
      <w:r>
        <w:t xml:space="preserve">Objective 1: Prove the enforcement layer actually changes behavior</w:t>
      </w:r>
    </w:p>
    <w:p>
      <w:pPr>
        <w:pStyle w:val="ListParagraph"/>
        <w:numPr>
          <w:ilvl w:val="0"/>
          <w:numId w:val="2"/>
        </w:numPr>
        <w:spacing w:after="80"/>
      </w:pPr>
      <w:r>
        <w:rPr>
          <w:sz w:val="22"/>
          <w:szCs w:val="22"/>
        </w:rPr>
        <w:t xml:space="preserve">Key result: 500 active traders logging at least 3 trading days per week through the Daily Limits Tool</w:t>
      </w:r>
    </w:p>
    <w:p>
      <w:pPr>
        <w:pStyle w:val="ListParagraph"/>
        <w:numPr>
          <w:ilvl w:val="0"/>
          <w:numId w:val="2"/>
        </w:numPr>
        <w:spacing w:after="80"/>
      </w:pPr>
      <w:r>
        <w:rPr>
          <w:sz w:val="22"/>
          <w:szCs w:val="22"/>
        </w:rPr>
        <w:t xml:space="preserve">Key result: Measurable reduction in kill-switch "hard stop" breaches per user, month over month, among users active for 60+ days</w:t>
      </w:r>
    </w:p>
    <w:p>
      <w:pPr>
        <w:pStyle w:val="Heading2"/>
      </w:pPr>
      <w:r>
        <w:t xml:space="preserve">Objective 2: Turn the journal and roadmap into a genuine retention loop</w:t>
      </w:r>
    </w:p>
    <w:p>
      <w:pPr>
        <w:pStyle w:val="ListParagraph"/>
        <w:numPr>
          <w:ilvl w:val="0"/>
          <w:numId w:val="2"/>
        </w:numPr>
        <w:spacing w:after="80"/>
      </w:pPr>
      <w:r>
        <w:rPr>
          <w:sz w:val="22"/>
          <w:szCs w:val="22"/>
        </w:rPr>
        <w:t xml:space="preserve">Key result: 40%+ of active traders have at least one journaled trade with a completed review checklist</w:t>
      </w:r>
    </w:p>
    <w:p>
      <w:pPr>
        <w:pStyle w:val="ListParagraph"/>
        <w:numPr>
          <w:ilvl w:val="0"/>
          <w:numId w:val="2"/>
        </w:numPr>
        <w:spacing w:after="80"/>
      </w:pPr>
      <w:r>
        <w:rPr>
          <w:sz w:val="22"/>
          <w:szCs w:val="22"/>
        </w:rPr>
        <w:t xml:space="preserve">Key result: Week-4 retention above 50% for traders who complete profile setup</w:t>
      </w:r>
    </w:p>
    <w:p>
      <w:pPr>
        <w:pStyle w:val="Heading1"/>
      </w:pPr>
      <w:r>
        <w:t xml:space="preserve">8. What we are explicitly not doing (yet)</w:t>
      </w:r>
    </w:p>
    <w:p>
      <w:pPr>
        <w:pStyle w:val="ListParagraph"/>
        <w:numPr>
          <w:ilvl w:val="0"/>
          <w:numId w:val="2"/>
        </w:numPr>
        <w:spacing w:after="80"/>
      </w:pPr>
      <w:r>
        <w:rPr>
          <w:sz w:val="22"/>
          <w:szCs w:val="22"/>
        </w:rPr>
        <w:t xml:space="preserve">We are not building a charting or technical-analysis platform — we assume the trader already has a broker terminal or charting tool; we are the layer on top of it, not a replacement for it.</w:t>
      </w:r>
    </w:p>
    <w:p>
      <w:pPr>
        <w:pStyle w:val="ListParagraph"/>
        <w:numPr>
          <w:ilvl w:val="0"/>
          <w:numId w:val="2"/>
        </w:numPr>
        <w:spacing w:after="80"/>
      </w:pPr>
      <w:r>
        <w:rPr>
          <w:sz w:val="22"/>
          <w:szCs w:val="22"/>
        </w:rPr>
        <w:t xml:space="preserve">We are not processing real money, placing trades, or integrating with a broker API in year 1 — all trade logging is self-reported by the trader.</w:t>
      </w:r>
    </w:p>
    <w:p>
      <w:pPr>
        <w:pStyle w:val="ListParagraph"/>
        <w:numPr>
          <w:ilvl w:val="0"/>
          <w:numId w:val="2"/>
        </w:numPr>
        <w:spacing w:after="80"/>
      </w:pPr>
      <w:r>
        <w:rPr>
          <w:sz w:val="22"/>
          <w:szCs w:val="22"/>
        </w:rPr>
        <w:t xml:space="preserve">We are not opening the Signal Marketplace or Strategies module to arbitrary public posting — only admin-approved traders can publish, to protect the trust the whole feature depends on.</w:t>
      </w:r>
    </w:p>
    <w:p>
      <w:pPr>
        <w:pStyle w:val="Heading1"/>
      </w:pPr>
      <w:r>
        <w:t xml:space="preserve">9. Open questions / risks</w:t>
      </w:r>
    </w:p>
    <w:p>
      <w:pPr>
        <w:pStyle w:val="ListParagraph"/>
        <w:numPr>
          <w:ilvl w:val="0"/>
          <w:numId w:val="2"/>
        </w:numPr>
        <w:spacing w:after="80"/>
      </w:pPr>
      <w:r>
        <w:rPr>
          <w:sz w:val="22"/>
          <w:szCs w:val="22"/>
        </w:rPr>
        <w:t xml:space="preserve">Unproven: will traders who are used to acting on impulse actually accept a tool that blocks them from taking a third trade, rather than abandoning the app on a day it gets in their way?</w:t>
      </w:r>
    </w:p>
    <w:p>
      <w:pPr>
        <w:pStyle w:val="ListParagraph"/>
        <w:numPr>
          <w:ilvl w:val="0"/>
          <w:numId w:val="2"/>
        </w:numPr>
        <w:spacing w:after="80"/>
      </w:pPr>
      <w:r>
        <w:rPr>
          <w:sz w:val="22"/>
          <w:szCs w:val="22"/>
        </w:rPr>
        <w:t xml:space="preserve">Risk: the self-reported nature of trade outcomes (no live broker/price-feed integration yet) means the win-rate and track-record data is only as honest as the trader entering it — this matters most for the Signal Marketplace, where trust is the entire product.</w:t>
      </w:r>
    </w:p>
    <w:p>
      <w:pPr>
        <w:pStyle w:val="ListParagraph"/>
        <w:numPr>
          <w:ilvl w:val="0"/>
          <w:numId w:val="2"/>
        </w:numPr>
        <w:spacing w:after="80"/>
      </w:pPr>
      <w:r>
        <w:rPr>
          <w:sz w:val="22"/>
          <w:szCs w:val="22"/>
        </w:rPr>
        <w:t xml:space="preserve">Open: what the real conversion rate from free tier to paid subscription looks like once pricing is tested with real users, rather than assumed.</w:t>
      </w:r>
    </w:p>
    <w:p>
      <w:pPr>
        <w:pBdr>
          <w:top w:val="single" w:color="CCCCCC" w:sz="4" w:space="8"/>
        </w:pBdr>
        <w:spacing w:after="60" w:before="280"/>
      </w:pPr>
      <w:r>
        <w:rPr>
          <w:b/>
          <w:bCs/>
          <w:sz w:val="21"/>
          <w:szCs w:val="21"/>
        </w:rPr>
        <w:t xml:space="preserve">How to use this document</w:t>
      </w:r>
    </w:p>
    <w:p>
      <w:pPr>
        <w:spacing w:after="100"/>
      </w:pPr>
      <w:r>
        <w:rPr>
          <w:i/>
          <w:iCs/>
          <w:color w:val="595959"/>
          <w:sz w:val="20"/>
          <w:szCs w:val="20"/>
        </w:rPr>
        <w:t xml:space="preserve">This is the first document in your founding chain. Once complete, it feeds into the Business Case (Document 2), and becomes the reference point every future hire — especially your CTO and COO — should read before their first day. Keep it to 2-4 pages. If it's longer, you're writing a business plan, not a vision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A8A"/>
        <w:sz w:val="16"/>
        <w:szCs w:val="16"/>
      </w:rPr>
      <w:t xml:space="preserve">Page </w:t>
    </w:r>
    <w:r>
      <w:rPr>
        <w:color w:val="8A8A8A"/>
        <w:sz w:val="16"/>
        <w:szCs w:val="16"/>
      </w:rPr>
      <w:fldChar w:fldCharType="begin"/>
      <w:instrText xml:space="preserve">PAGE</w:instrText>
      <w:fldChar w:fldCharType="separate"/>
      <w:fldChar w:fldCharType="end"/>
    </w:r>
    <w:r>
      <w:rPr>
        <w:color w:val="8A8A8A"/>
        <w:sz w:val="16"/>
        <w:szCs w:val="16"/>
      </w:rPr>
      <w:t xml:space="preserve"> of </w:t>
    </w:r>
    <w:r>
      <w:rPr>
        <w:color w:val="8A8A8A"/>
        <w:sz w:val="16"/>
        <w:szCs w:val="16"/>
      </w:rPr>
      <w:fldChar w:fldCharType="begin"/>
      <w:instrText xml:space="preserve">NUMPAGES</w:instrText>
      <w:fldChar w:fldCharType="separate"/>
      <w:fldChar w:fldCharType="end"/>
    </w:r>
    <w:r>
      <w:rPr>
        <w:color w:val="8A8A8A"/>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595959"/>
        <w:sz w:val="18"/>
        <w:szCs w:val="18"/>
      </w:rPr>
      <w:t xml:space="preserve">1CrTrader</w:t>
    </w:r>
    <w:r>
      <w:rPr>
        <w:color w:val="595959"/>
        <w:sz w:val="18"/>
        <w:szCs w:val="18"/>
      </w:rPr>
      <w:t xml:space="preserve">	Vision &amp; Strategy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2"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2D50"/>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F2D50"/>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2026-06-25T09:51:06.896Z</dcterms:created>
  <dcterms:modified xsi:type="dcterms:W3CDTF">2026-06-25T09:51:06.896Z</dcterms:modified>
</cp:coreProperties>
</file>

<file path=docProps/custom.xml><?xml version="1.0" encoding="utf-8"?>
<Properties xmlns="http://schemas.openxmlformats.org/officeDocument/2006/custom-properties" xmlns:vt="http://schemas.openxmlformats.org/officeDocument/2006/docPropsVTypes"/>
</file>