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2 OF 4 — FOUNDING DOCUMENTS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D50"/>
          <w:sz w:val="48"/>
          <w:szCs w:val="48"/>
        </w:rPr>
        <w:t xml:space="preserve">Business Case</w:t>
      </w:r>
    </w:p>
    <w:p>
      <w:pPr>
        <w:pBdr>
          <w:bottom w:val="single" w:color="2E75B6" w:sz="6" w:space="8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Is this viable, and how does it make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182"/>
        <w:gridCol w:w="1498"/>
        <w:gridCol w:w="3182"/>
      </w:tblGrid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[Your name], CEO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Draft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v0.1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Retail options and futures traders in India consistently lose money not from lack of analysis but from a lack of enforced discipline — no daily loss limits, no cap on trades per day, no honest record of what actually happened. 1CrTrader is a discipline layer that sits on top of a trader's existing broker: it enforces a tier-based daily risk budget (max trades per day, max rupee loss per day, automatic kill switch), converts that budget into a concrete points stop-loss per instrument, and pairs it with a trading journal and a capital growth roadmap with honest win-rate math. The product is free to start, with paid subscription tiers (₹625–₹5,000/month) unlocking higher capital tiers and tools. The addressable market is the large and fast-growing base of self-directed Indian options traders, most of whom currently use no risk-management tooling at all. [Complete this summary once Sections 2–7 are finalized — it should be written last but read first.]</w:t>
      </w:r>
    </w:p>
    <w:p>
      <w:pPr>
        <w:pStyle w:val="Heading1"/>
      </w:pPr>
      <w:r>
        <w:t xml:space="preserve">2. Market opportunity</w:t>
      </w:r>
    </w:p>
    <w:p>
      <w:pPr>
        <w:pStyle w:val="Heading2"/>
      </w:pPr>
      <w:r>
        <w:t xml:space="preserve">2.1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Source / assumption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TAM (Total addressable market)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amount]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[Estimate from active F&amp;O trader counts published by NSE/SEBI, multiplied by an assumed willingness-to-pay for a risk/journaling tool]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 (Serviceable addressable market)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amount]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[Narrow TAM to traders actively trading index options/futures with capital in the ₹25,000–20,00,000 band this product targets]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 (Serviceable obtainable market, Yr 1-2)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amount]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[Realistic capture given a single-founder / small-team go-to-market via trading communities and content]</w:t>
            </w:r>
          </w:p>
        </w:tc>
      </w:tr>
    </w:tbl>
    <w:p>
      <w:pPr>
        <w:pStyle w:val="Heading2"/>
      </w:pPr>
      <w:r>
        <w:t xml:space="preserve">2.2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20"/>
        <w:gridCol w:w="3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Weakness / our opening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Charting &amp; screener platforms (e.g. TradingView-style tools)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Strong technical analysis tooling, large existing user base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 not enforce any risk discipline — purely analytical, no daily limits or kill-switch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Broker-native trade journals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Already integrated with the trader's actual fills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Passive record-keeping only; nothing stops a trader from overtrading or oversizing in the moment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Status quo / spreadsheet or no tracking at all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Zero friction, free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enforcement, no structure, and almost universally abandoned within weeks — the gap we exploit directly</w:t>
            </w:r>
          </w:p>
        </w:tc>
      </w:tr>
    </w:tbl>
    <w:p>
      <w:pPr>
        <w:pStyle w:val="Heading1"/>
      </w:pPr>
      <w:r>
        <w:t xml:space="preserve">3. Revenue model</w:t>
      </w:r>
    </w:p>
    <w:p>
      <w:pPr>
        <w:pStyle w:val="Heading2"/>
      </w:pPr>
      <w:r>
        <w:t xml:space="preserve">3.1 Pricing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Freemium subscription model, tiered by the trader's capital band rather than by feature count — matching how the product itself is structured. Small tier ₹625/month, Medium ₹1,250/month, Large ₹2,500/month, Pro ₹5,000/month, each with a 20% discount on annual prepay. Pricing scales with the trader's own capital growth: as a trader's balance crosses into a higher tier, they are a natural candidate to upgrade, which ties revenue growth directly to user success rather than to upselling unrelated features.</w:t>
      </w:r>
    </w:p>
    <w:p>
      <w:pPr>
        <w:pStyle w:val="Heading2"/>
      </w:pPr>
      <w:r>
        <w:t xml:space="preserve">3.2 Unit economics (rough, directional)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 — likely low if go-to-market leans on trading communities/content rather than paid ads]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Average revenue per customer /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 based on tier mix]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Estimated gross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[% estimate — should be high; this is a software product with no broker/transaction costs]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Estimated payback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[months]</w:t>
            </w:r>
          </w:p>
        </w:tc>
      </w:tr>
    </w:tbl>
    <w:p>
      <w:pPr>
        <w:pStyle w:val="Heading1"/>
      </w:pPr>
      <w:r>
        <w:t xml:space="preserve">4. Cost estimate to build &amp; launch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This section needs input from a future CTO once hired — the estimates below are a founder's best guess for planning purposes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Engineering (MVP build, ~X 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[Team size assumption — the core risk-enforcement tool, journal, and roadmap already exist as a working prototype, which should meaningfully reduce this]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[In-house / contract]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Infrastructure /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 / month]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[Cloud provider assumption — likely modest at this stage, no real-time market data feed required yet]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Initial go-to-market /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[Trading community partnerships, content, influencer collaborations]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to first paying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 estimate]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Funding ask (if applicable)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[Not yet decided — fill in once a funding decision is made: amount raising, runway it buys in months, and top 3 uses of funds. Leave blank if self-funding through this stage.]</w:t>
      </w:r>
    </w:p>
    <w:p>
      <w:pPr>
        <w:pStyle w:val="Heading1"/>
      </w:pPr>
      <w:r>
        <w:t xml:space="preserve">6. Key risks to the business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 risk: unproven willingness to pay for a discipline/journaling tool specifically, as opposed to bundling it for free alongside a broker or charting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Trust risk: the Signal Marketplace and Strategies modules depend entirely on trader-reported outcomes being honest — without real price-feed verification, a bad-faith trader could inflate their track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Execution risk: building the real backend needed for multi-user accounts, admin-approved traders, and persistent data is a meaningfully larger undertaking than the current single-session prototype, and is dependent on hiring a strong 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Competitive risk: a well-funded incumbent (broker or charting platform) could bundle a basic version of daily-limits enforcement for free.</w:t>
      </w:r>
    </w:p>
    <w:p>
      <w:pPr>
        <w:pStyle w:val="Heading1"/>
      </w:pPr>
      <w:r>
        <w:t xml:space="preserve">7. Decision requested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[e.g. Approval to proceed to MVP build with a $X budget and Y month timeline — fill in once Sections 4–5 are finalized.]</w:t>
      </w:r>
    </w:p>
    <w:p>
      <w:pPr>
        <w:pBdr>
          <w:top w:val="single" w:color="CCCCCC" w:sz="4" w:space="8"/>
        </w:pBdr>
        <w:spacing w:after="60" w:before="280"/>
      </w:pPr>
      <w:r>
        <w:rPr>
          <w:b/>
          <w:bCs/>
          <w:sz w:val="21"/>
          <w:szCs w:val="21"/>
        </w:rPr>
        <w:t xml:space="preserve">How to use this document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This document answers "is it viable" — it's what a CFO candidate will scrutinize first, and what investors will ask about line by line. It depends on your Vision &amp; Strategy doc (Document 1) for the why, and feeds the MVP PRD (Document 3) by setting cost and scope boundaries the product can't exceed.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A8A8A"/>
        <w:sz w:val="16"/>
        <w:szCs w:val="16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1CrTrader</w:t>
    </w:r>
    <w:r>
      <w:rPr>
        <w:color w:val="595959"/>
        <w:sz w:val="18"/>
        <w:szCs w:val="18"/>
      </w:rPr>
      <w:t xml:space="preserve">	Business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2D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2D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2026-06-25T09:52:10.700Z</dcterms:created>
  <dcterms:modified xsi:type="dcterms:W3CDTF">2026-06-25T09:52:10.700Z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