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93"/>
      </w:pPr>
      <w:r>
        <w:rPr>
          <w:rFonts w:ascii="Arial" w:hAnsi="Arial" w:cs="Arial"/>
          <w:sz w:val="58"/>
          <w:sz-cs w:val="58"/>
          <w:b/>
          <w:spacing w:val="0"/>
        </w:rPr>
        <w:t xml:space="preserve">Surf for Turf: molecular dynamics sections (draft for merging)</w:t>
      </w:r>
    </w:p>
    <w:p>
      <w:pPr>
        <w:spacing w:after="293"/>
      </w:pPr>
      <w:r>
        <w:rPr>
          <w:rFonts w:ascii="Arial" w:hAnsi="Arial" w:cs="Arial"/>
          <w:sz w:val="29"/>
          <w:sz-cs w:val="29"/>
          <w:i/>
          <w:spacing w:val="0"/>
        </w:rPr>
        <w:t xml:space="preserve">Draft prepared 9 October 2026 and updated 16 October 2026 with the 50 ns extension results, for merging into “Surf for Turf Manuscript v1”. Items in [square brackets] need an author to confirm or fill in. All simulation numbers come from the rebuilt systems (repository github.com/azhwang/surf_for_turf; 1 ns screen in mmpbsa_rebuild_results/, 50 ns extensions in rebuild_v2/ext_results/).</w:t>
      </w:r>
      <w:r>
        <w:rPr>
          <w:rFonts w:ascii="Arial" w:hAnsi="Arial" w:cs="Arial"/>
          <w:sz w:val="29"/>
          <w:sz-cs w:val="29"/>
          <w:spacing w:val="0"/>
        </w:rPr>
        <w:t xml:space="preserve"/>
      </w:r>
    </w:p>
    <w:p>
      <w:pPr>
        <w:spacing w:after="365"/>
      </w:pPr>
      <w:r>
        <w:rPr>
          <w:rFonts w:ascii="Arial" w:hAnsi="Arial" w:cs="Arial"/>
          <w:sz w:val="44"/>
          <w:sz-cs w:val="44"/>
          <w:b/>
          <w:spacing w:val="0"/>
        </w:rPr>
        <w:t xml:space="preserve">0. Notes for the authors (delete before submission)</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The current simulation claims must be removed.</w:t>
      </w:r>
      <w:r>
        <w:rPr>
          <w:rFonts w:ascii="Arial" w:hAnsi="Arial" w:cs="Arial"/>
          <w:sz w:val="29"/>
          <w:sz-cs w:val="29"/>
          <w:spacing w:val="0"/>
        </w:rPr>
        <w:t xml:space="preserve"> v1 states that the modelling “demonstrated improved binding of goldfish FGF2 via lower binding energy and smaller receptor distance … with one heparin molecule” and that results were “validated” by modelling. Those numbers came from the original analysis, which split the complexes with wrong residue ranges (all 2:2:1 values were invalid) and used builds in which part of the FGF2 N-terminal tail was threaded through FGFR rings (goldfish 2:2:1 among them). In the corrected, rebuilt systems goldfish and human FGF2 are indistinguishable.</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What the corrected simulations support:</w:t>
      </w:r>
      <w:r>
        <w:rPr>
          <w:rFonts w:ascii="Arial" w:hAnsi="Arial" w:cs="Arial"/>
          <w:sz w:val="29"/>
          <w:sz-cs w:val="29"/>
          <w:spacing w:val="0"/>
        </w:rPr>
        <w:t xml:space="preserve"> FGF2–FGFR–heparin binding energies are statistically indistinguishable across all seven orthologs, in both stoichiometries (one-way ANOVA p &gt; 0.18 for every comparison; no Tukey pair significant). The receptor interface is highly conserved. The most variable element is how FGF2 engages heparin. This fits the paper’s heparinase finding, but it does </w:t>
      </w:r>
      <w:r>
        <w:rPr>
          <w:rFonts w:ascii="Arial" w:hAnsi="Arial" w:cs="Arial"/>
          <w:sz w:val="29"/>
          <w:sz-cs w:val="29"/>
          <w:i/>
          <w:spacing w:val="0"/>
        </w:rPr>
        <w:t xml:space="preserve">not</w:t>
      </w:r>
      <w:r>
        <w:rPr>
          <w:rFonts w:ascii="Arial" w:hAnsi="Arial" w:cs="Arial"/>
          <w:sz w:val="29"/>
          <w:sz-cs w:val="29"/>
          <w:spacing w:val="0"/>
        </w:rPr>
        <w:t xml:space="preserve"> explain the goldfish growth advantage by stronger receptor binding.</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“Smaller receptor distance”</w:t>
      </w:r>
      <w:r>
        <w:rPr>
          <w:rFonts w:ascii="Arial" w:hAnsi="Arial" w:cs="Arial"/>
          <w:sz w:val="29"/>
          <w:sz-cs w:val="29"/>
          <w:spacing w:val="0"/>
        </w:rPr>
        <w:t xml:space="preserve"> was not re-evaluated. Drop it unless it is recomputed on the rebuilt systems.</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Orthologs.</w:t>
      </w:r>
      <w:r>
        <w:rPr>
          <w:rFonts w:ascii="Arial" w:hAnsi="Arial" w:cs="Arial"/>
          <w:sz w:val="29"/>
          <w:sz-cs w:val="29"/>
          <w:spacing w:val="0"/>
        </w:rPr>
        <w:t xml:space="preserve"> Chinook salmon FGF2 was simulated but not tested in cells. Keep it in the Supplementary Information or drop it.</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50 ns extensions (finished 16 October).</w:t>
      </w:r>
      <w:r>
        <w:rPr>
          <w:rFonts w:ascii="Arial" w:hAnsi="Arial" w:cs="Arial"/>
          <w:sz w:val="29"/>
          <w:sz-cs w:val="29"/>
          <w:spacing w:val="0"/>
        </w:rPr>
        <w:t xml:space="preserve"> Human and goldfish FGF2, 3 replicates each, both assemblies. The analysis plan was written and committed to git before any extension data were analysed (rebuild_v2/ANALYSIS_PLAN_extensions.md). Its pre-specified test of the v1 claim (goldfish has a lower 2:2:1 whole-assembly binding energy than human) is </w:t>
      </w:r>
      <w:r>
        <w:rPr>
          <w:rFonts w:ascii="Arial" w:hAnsi="Arial" w:cs="Arial"/>
          <w:sz w:val="29"/>
          <w:sz-cs w:val="29"/>
          <w:b/>
          <w:spacing w:val="0"/>
        </w:rPr>
        <w:t xml:space="preserve">not supported</w:t>
      </w:r>
      <w:r>
        <w:rPr>
          <w:rFonts w:ascii="Arial" w:hAnsi="Arial" w:cs="Arial"/>
          <w:sz w:val="29"/>
          <w:sz-cs w:val="29"/>
          <w:spacing w:val="0"/>
        </w:rPr>
        <w:t xml:space="preserve">: the difference is −20 kcal/mol, 95% CI −87 to +46, p = 0.40. The species × assembly interaction, which is the form of the experimental claim, is null (p = 0.98).</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The 1 ns “two-state” human result is withdrawn.</w:t>
      </w:r>
      <w:r>
        <w:rPr>
          <w:rFonts w:ascii="Arial" w:hAnsi="Arial" w:cs="Arial"/>
          <w:sz w:val="29"/>
          <w:sz-cs w:val="29"/>
          <w:spacing w:val="0"/>
        </w:rPr>
        <w:t xml:space="preserve"> It did not persist over 50 ns: every replicate fluctuates between tight and loose heparin engagement. The Results and Discussion text that relied on it has been replaced below.</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New mechanistic finding, exploratory.</w:t>
      </w:r>
      <w:r>
        <w:rPr>
          <w:rFonts w:ascii="Arial" w:hAnsi="Arial" w:cs="Arial"/>
          <w:sz w:val="29"/>
          <w:sz-cs w:val="29"/>
          <w:spacing w:val="0"/>
        </w:rPr>
        <w:t xml:space="preserve"> In the 2:2:1 assembly only, goldfish FGF2 engages the shared heparin through the conserved Arg90 in all three replicates, while human FGF2 does not. This was found in two goldfish replicates. A written prediction was committed before the third goldfish replicate was analysed, and that replicate confirmed it. The net FGF2–heparin energy does not differ, because other heparin-site residues compensate. Present it as a difference in binding mode, label it exploratory, and do not present it as explaining the affinity difference.</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Do not use</w:t>
      </w:r>
      <w:r>
        <w:rPr>
          <w:rFonts w:ascii="Arial" w:hAnsi="Arial" w:cs="Arial"/>
          <w:sz w:val="29"/>
          <w:sz-cs w:val="29"/>
          <w:spacing w:val="0"/>
        </w:rPr>
        <w:t xml:space="preserve"> the earlier “rice fish binds more weakly” result. It does not survive multiple-comparison correction.</w:t>
      </w:r>
    </w:p>
    <w:p>
      <w:pPr>
        <w:spacing w:after="365"/>
      </w:pPr>
      <w:r>
        <w:rPr>
          <w:rFonts w:ascii="Arial" w:hAnsi="Arial" w:cs="Arial"/>
          <w:sz w:val="44"/>
          <w:sz-cs w:val="44"/>
          <w:b/>
          <w:spacing w:val="0"/>
        </w:rPr>
        <w:t xml:space="preserve">1. Abstract (replace the two MD sentences)</w:t>
      </w:r>
    </w:p>
    <w:p>
      <w:pPr>
        <w:spacing w:after="293"/>
      </w:pPr>
      <w:r>
        <w:rPr>
          <w:rFonts w:ascii="Arial" w:hAnsi="Arial" w:cs="Arial"/>
          <w:sz w:val="29"/>
          <w:sz-cs w:val="29"/>
          <w:spacing w:val="0"/>
        </w:rPr>
        <w:t xml:space="preserve">To probe the molecular basis of these effects, molecular dynamics (MD) simulations of FGF2–FGFR–heparin assemblies were performed for seven FGF2 orthologs. Calculated FGF2–FGFR–heparin binding energies were statistically indistinguishable across orthologs, and the receptor-binding and heparin-binding surfaces were highly conserved, indicating that the improved performance of goldfish FGF2 is not explained by stronger receptor binding alone. Longer simulations revealed that goldfish FGF2 adopts a distinct heparin-binding mode only when a single heparin chain is shared by the complex, consistent with the sensitivity of iBSC growth to heparin and heparinase. Future work could combine longer-timescale simulations with artificial intelligence to screen FGF2 orthologs prior to wet lab experiments.</w:t>
      </w:r>
    </w:p>
    <w:p>
      <w:pPr>
        <w:spacing w:after="365"/>
      </w:pPr>
      <w:r>
        <w:rPr>
          <w:rFonts w:ascii="Arial" w:hAnsi="Arial" w:cs="Arial"/>
          <w:sz w:val="44"/>
          <w:sz-cs w:val="44"/>
          <w:b/>
          <w:spacing w:val="0"/>
        </w:rPr>
        <w:t xml:space="preserve">2. Introduction (replace the last two sentences)</w:t>
      </w:r>
    </w:p>
    <w:p>
      <w:pPr>
        <w:spacing w:after="293"/>
      </w:pPr>
      <w:r>
        <w:rPr>
          <w:rFonts w:ascii="Arial" w:hAnsi="Arial" w:cs="Arial"/>
          <w:sz w:val="29"/>
          <w:sz-cs w:val="29"/>
          <w:spacing w:val="0"/>
        </w:rPr>
        <w:t xml:space="preserve">After identifying goldfish FGF2 and heparinase as significantly improving iBSC growth in Beefy-9, the binding of seven FGF2 orthologs to FGFR in the presence of heparin was examined with all-atom molecular dynamics simulations. Here, we present a combination of cell growth assays, cell characterization, and computational modeling of the binding interactions between FGF2, FGFR, and the co-factor heparin.</w:t>
      </w:r>
    </w:p>
    <w:p>
      <w:pPr>
        <w:spacing w:after="365"/>
      </w:pPr>
      <w:r>
        <w:rPr>
          <w:rFonts w:ascii="Arial" w:hAnsi="Arial" w:cs="Arial"/>
          <w:sz w:val="44"/>
          <w:sz-cs w:val="44"/>
          <w:b/>
          <w:spacing w:val="0"/>
        </w:rPr>
        <w:t xml:space="preserve">3. Results – new subsection (after the Western blot subsection)</w:t>
      </w:r>
    </w:p>
    <w:p>
      <w:pPr>
        <w:spacing w:after="343"/>
      </w:pPr>
      <w:r>
        <w:rPr>
          <w:rFonts w:ascii="Arial" w:hAnsi="Arial" w:cs="Arial"/>
          <w:sz w:val="34"/>
          <w:sz-cs w:val="34"/>
          <w:b/>
          <w:spacing w:val="0"/>
        </w:rPr>
        <w:t xml:space="preserve">Molecular dynamics: the FGF2–FGFR interface is conserved across orthologs, and variability lies in heparin engagement</w:t>
      </w:r>
    </w:p>
    <w:p>
      <w:pPr>
        <w:spacing w:after="293"/>
      </w:pPr>
      <w:r>
        <w:rPr>
          <w:rFonts w:ascii="Arial" w:hAnsi="Arial" w:cs="Arial"/>
          <w:sz w:val="29"/>
          <w:sz-cs w:val="29"/>
          <w:spacing w:val="0"/>
        </w:rPr>
        <w:t xml:space="preserve">To examine whether differences in receptor binding could explain ortholog performance, FGF2–FGFR–heparin assemblies were simulated for seven FGF2 variants: human, human FGF2-STAB, bovine FGF2-STAB, goldfish, zebrafish, Japanese rice fish and Chinook salmon (Fig. 4, Supp. Figs. 6–8). Two assemblies were modeled. The first was a 2:2:2 complex with two FGF2, two FGFR1 and two heparin oligosaccharides, based on the crystal structure 1FQ9. FGFR1 is the predominant receptor in iBSCs. The second was a 2:2:1 complex with a single heparin chain shared by both FGF2–FGFR pairs, based on 1E0O. Each ortholog was trimmed to the β-trefoil core resolved in the crystal structures, so that all orthologs share the same structural extent (see Methods). Binding energies were calculated with MM/GBSA, per FGF2–FGFR interface and for the whole assembly (five independent replicates per system).</w:t>
      </w:r>
    </w:p>
    <w:p>
      <w:pPr>
        <w:spacing w:after="293"/>
      </w:pPr>
      <w:r>
        <w:rPr>
          <w:rFonts w:ascii="Arial" w:hAnsi="Arial" w:cs="Arial"/>
          <w:sz w:val="29"/>
          <w:sz-cs w:val="29"/>
          <w:spacing w:val="0"/>
        </w:rPr>
        <w:t xml:space="preserve">In the 2:2:2 assembly, whole-assembly binding energies ranged from −348 to −363 kcal/mol across orthologs, with no significant differences (one-way ANOVA, p = 0.92; Table 1). The 2:2:1 assembly gave the same result (−130 to −159 kcal/mol; p = 0.21). No pairwise comparison was significant at either interface in either assembly. In particular, goldfish and human FGF2 had nearly identical binding energies in both the 2:2:1 assembly (−159.4 ± 10.2 vs −155.3 ± 33.6 kcal/mol) and the 2:2:2 assembly (−358.7 ± 19.2 vs −353.4 ± 19.3 kcal/mol). As a control, human and bovine FGF2-STAB, which differ at a single position, gave matching values (2:2:1: −157.4 ± 20.7 vs −159.2 ± 18.1 kcal/mol).</w:t>
      </w:r>
    </w:p>
    <w:p>
      <w:pPr>
        <w:spacing w:after="293"/>
      </w:pPr>
      <w:r>
        <w:rPr>
          <w:rFonts w:ascii="Arial" w:hAnsi="Arial" w:cs="Arial"/>
          <w:sz w:val="29"/>
          <w:sz-cs w:val="29"/>
          <w:spacing w:val="0"/>
        </w:rPr>
        <w:t xml:space="preserve">Consistent with these results, the binding surfaces are highly conserved. In the FGFR1 assembly, 28 of the 40 FGF2 positions that contact FGFR (70%) and 11 of the 12 positions that contact heparin (92%) are identical in all seven orthologs, compared with 65% identity across the whole core.</w:t>
      </w:r>
    </w:p>
    <w:p>
      <w:pPr>
        <w:spacing w:after="293"/>
      </w:pPr>
      <w:r>
        <w:rPr>
          <w:rFonts w:ascii="Arial" w:hAnsi="Arial" w:cs="Arial"/>
          <w:sz w:val="29"/>
          <w:sz-cs w:val="29"/>
          <w:spacing w:val="0"/>
        </w:rPr>
        <w:t xml:space="preserve">Replicate-to-replicate variation in these short simulations was large (SD about 10–35 kcal/mol). Most of it came from electrostatic interactions between the canonical FGF2 heparin-binding residues (Lys128, Arg129, Lys134, Lys138 and Lys144) and heparin, which had not converged within 1 ns. Human and goldfish FGF2 were therefore simulated for a further 50 ns.</w:t>
      </w:r>
    </w:p>
    <w:p>
      <w:pPr>
        <w:spacing w:after="343"/>
      </w:pPr>
      <w:r>
        <w:rPr>
          <w:rFonts w:ascii="Arial" w:hAnsi="Arial" w:cs="Arial"/>
          <w:sz w:val="34"/>
          <w:sz-cs w:val="34"/>
          <w:b/>
          <w:spacing w:val="0"/>
        </w:rPr>
        <w:t xml:space="preserve">Extended simulations: goldfish FGF2 adopts a distinct heparin-binding mode in the shared-heparin assembly</w:t>
      </w:r>
    </w:p>
    <w:p>
      <w:pPr>
        <w:spacing w:after="293"/>
      </w:pPr>
      <w:r>
        <w:rPr>
          <w:rFonts w:ascii="Arial" w:hAnsi="Arial" w:cs="Arial"/>
          <w:sz w:val="29"/>
          <w:sz-cs w:val="29"/>
          <w:spacing w:val="0"/>
        </w:rPr>
        <w:t xml:space="preserve">Human and goldfish FGF2 were extended to 51 ns (three replicates each, both assemblies; Fig. 4e,f; Table 2). The analysis was specified in a written plan before any extension data were examined. Binding energies were averaged over the last 40 ns, treating the first 10 ns of the extension as further equilibration, with the replicate as the unit of analysis. Over this window, the 2:2:1 whole-assembly binding energy of goldfish FGF2 was −198 ± 15 kcal/mol, against −178 ± 32 kcal/mol for human (difference −20, 95% CI −87 to +46; Welch p = 0.40). In the 2:2:2 assembly the values were −310 ± 36 and −291 ± 5 kcal/mol (difference −19; p = 0.45). The goldfish–human difference was therefore the same in both assemblies (species × assembly interaction, two-way ANOVA p = 0.98). Thus the simulations do not resolve the stronger 2:2:1 binding of goldfish FGF2 seen experimentally. This is expected: an experimental difference of about 1 kcal/mol lies far below the replicate-to-replicate spread of MM/GBSA. The apparent bimodality of human FGF2 at 1 ns did not persist. Over 50 ns all replicates of both species alternated between tight and loose engagement of the canonical heparin-binding site, with similar salt-bridge counts (2:2:1: 10.7 ± 1.2 goldfish vs 11.1 ± 1.1 human; p = 0.67).</w:t>
      </w:r>
    </w:p>
    <w:p>
      <w:pPr>
        <w:spacing w:after="293"/>
      </w:pPr>
      <w:r>
        <w:rPr>
          <w:rFonts w:ascii="Arial" w:hAnsi="Arial" w:cs="Arial"/>
          <w:sz w:val="29"/>
          <w:sz-cs w:val="29"/>
          <w:spacing w:val="0"/>
        </w:rPr>
        <w:t xml:space="preserve">Exploratory per-residue decomposition did, however, identify a consistent species difference in how FGF2 engages heparin, confined to the 2:2:1 assembly. In all three goldfish replicates and in both FGF2 copies, the conserved residue Arg90 (Arg81 in the 146-residue numbering), a residue implicated in FGF2–heparin binding [ref; confirm], formed sustained contacts with the shared heparin chain (11–36 heavy-atom contacts within 4.5 Å, averaged over the window). Its per-residue contribution was −10.8 to −11.6 kcal/mol. In human FGF2, Arg90 made few or no heparin contacts (0–5.5) and contributed −0.5 to −2.0 kcal/mol. This pattern was first observed in two goldfish replicates. A quantitative prediction was then recorded before the third goldfish replicate was analysed, and that replicate met it (19 and 16 contacts; −10.6 and −9.4 kcal/mol). In the 2:2:2 assembly, where each FGF2 has its own heparin, Arg90 contributed equally little in both species (about −2 kcal/mol). Goldfish FGF2 thus engages a single shared heparin chain differently from human FGF2, which parallels the assembly dependence seen experimentally. This alternative binding mode did not translate into a more favourable net FGF2–heparin energy (2:2:1: −141 ± 22 vs −135 ± 25 kcal/mol; p = 0.77), because canonical heparin-site residues (Lys35, Lys128, Arg129, Lys134) contributed less in goldfish. Separately, FGF2–FGFR interaction energies computed with heparin removed were more favourable for goldfish in both assemblies (2:2:1: −47 ± 4 vs −30 ± 5 kcal/mol; 2:2:2: −127 ± 7 vs −109 ± 14 kcal/mol). This difference was not specific to one assembly, and it does not survive correction for the number of exploratory comparisons.</w:t>
      </w:r>
    </w:p>
    <w:p>
      <w:pPr>
        <w:spacing w:after="343"/>
      </w:pPr>
      <w:r>
        <w:rPr>
          <w:rFonts w:ascii="Arial" w:hAnsi="Arial" w:cs="Arial"/>
          <w:sz w:val="34"/>
          <w:sz-cs w:val="34"/>
          <w:b/>
          <w:spacing w:val="0"/>
        </w:rPr>
        <w:t xml:space="preserve">Table 2 (draft). 50 ns extensions, human vs goldfish FGF2 (mean ± SD over three replicates; window 11–51 ns)</w:t>
      </w:r>
    </w:p>
    <w:p>
      <w:pPr>
        <w:jc w:val="center"/>
      </w:pPr>
      <w:r>
        <w:rPr>
          <w:rFonts w:ascii="Arial" w:hAnsi="Arial" w:cs="Arial"/>
          <w:sz w:val="26"/>
          <w:sz-cs w:val="26"/>
          <w:b/>
          <w:spacing w:val="0"/>
        </w:rPr>
        <w:t xml:space="preserve"/>
      </w:r>
    </w:p>
    <w:p>
      <w:pPr>
        <w:jc w:val="center"/>
      </w:pPr>
      <w:r>
        <w:rPr>
          <w:rFonts w:ascii="Arial" w:hAnsi="Arial" w:cs="Arial"/>
          <w:sz w:val="26"/>
          <w:sz-cs w:val="26"/>
          <w:b/>
          <w:spacing w:val="0"/>
        </w:rPr>
        <w:t xml:space="preserve">2:2:1 (1E0O, shared heparin)</w:t>
      </w:r>
    </w:p>
    <w:p>
      <w:pPr>
        <w:jc w:val="center"/>
      </w:pPr>
      <w:r>
        <w:rPr>
          <w:rFonts w:ascii="Arial" w:hAnsi="Arial" w:cs="Arial"/>
          <w:sz w:val="26"/>
          <w:sz-cs w:val="26"/>
          <w:b/>
          <w:spacing w:val="0"/>
        </w:rPr>
        <w:t xml:space="preserve">2:2:2 (1FQ9)</w:t>
      </w:r>
    </w:p>
    <w:p>
      <w:pPr>
        <w:jc w:val="center"/>
      </w:pPr>
      <w:r>
        <w:rPr>
          <w:rFonts w:ascii="Arial" w:hAnsi="Arial" w:cs="Arial"/>
          <w:sz w:val="26"/>
          <w:sz-cs w:val="26"/>
          <w:b/>
          <w:spacing w:val="0"/>
        </w:rPr>
        <w:t xml:space="preserve">Quantity</w:t>
      </w:r>
    </w:p>
    <w:p>
      <w:pPr>
        <w:jc w:val="center"/>
      </w:pPr>
      <w:r>
        <w:rPr>
          <w:rFonts w:ascii="Arial" w:hAnsi="Arial" w:cs="Arial"/>
          <w:sz w:val="26"/>
          <w:sz-cs w:val="26"/>
          <w:b/>
          <w:spacing w:val="0"/>
        </w:rPr>
        <w:t xml:space="preserve">Goldfish</w:t>
      </w:r>
    </w:p>
    <w:p>
      <w:pPr>
        <w:jc w:val="center"/>
      </w:pPr>
      <w:r>
        <w:rPr>
          <w:rFonts w:ascii="Arial" w:hAnsi="Arial" w:cs="Arial"/>
          <w:sz w:val="26"/>
          <w:sz-cs w:val="26"/>
          <w:b/>
          <w:spacing w:val="0"/>
        </w:rPr>
        <w:t xml:space="preserve">Human</w:t>
      </w:r>
    </w:p>
    <w:p>
      <w:pPr>
        <w:jc w:val="center"/>
      </w:pPr>
      <w:r>
        <w:rPr>
          <w:rFonts w:ascii="Arial" w:hAnsi="Arial" w:cs="Arial"/>
          <w:sz w:val="26"/>
          <w:sz-cs w:val="26"/>
          <w:b/>
          <w:spacing w:val="0"/>
        </w:rPr>
        <w:t xml:space="preserve">p</w:t>
      </w:r>
    </w:p>
    <w:p>
      <w:pPr>
        <w:jc w:val="center"/>
      </w:pPr>
      <w:r>
        <w:rPr>
          <w:rFonts w:ascii="Arial" w:hAnsi="Arial" w:cs="Arial"/>
          <w:sz w:val="26"/>
          <w:sz-cs w:val="26"/>
          <w:b/>
          <w:spacing w:val="0"/>
        </w:rPr>
        <w:t xml:space="preserve">Goldfish</w:t>
      </w:r>
    </w:p>
    <w:p>
      <w:pPr>
        <w:jc w:val="center"/>
      </w:pPr>
      <w:r>
        <w:rPr>
          <w:rFonts w:ascii="Arial" w:hAnsi="Arial" w:cs="Arial"/>
          <w:sz w:val="26"/>
          <w:sz-cs w:val="26"/>
          <w:b/>
          <w:spacing w:val="0"/>
        </w:rPr>
        <w:t xml:space="preserve">Human</w:t>
      </w:r>
    </w:p>
    <w:p>
      <w:pPr>
        <w:jc w:val="center"/>
      </w:pPr>
      <w:r>
        <w:rPr>
          <w:rFonts w:ascii="Arial" w:hAnsi="Arial" w:cs="Arial"/>
          <w:sz w:val="26"/>
          <w:sz-cs w:val="26"/>
          <w:b/>
          <w:spacing w:val="0"/>
        </w:rPr>
        <w:t xml:space="preserve">p</w:t>
      </w:r>
    </w:p>
    <w:p>
      <w:pPr/>
      <w:r>
        <w:rPr>
          <w:rFonts w:ascii="Arial" w:hAnsi="Arial" w:cs="Arial"/>
          <w:sz w:val="26"/>
          <w:sz-cs w:val="26"/>
          <w:spacing w:val="0"/>
        </w:rPr>
        <w:t xml:space="preserve">ΔG whole assembly (pre-specified)</w:t>
      </w:r>
    </w:p>
    <w:p>
      <w:pPr/>
      <w:r>
        <w:rPr>
          <w:rFonts w:ascii="Arial" w:hAnsi="Arial" w:cs="Arial"/>
          <w:sz w:val="26"/>
          <w:sz-cs w:val="26"/>
          <w:spacing w:val="0"/>
        </w:rPr>
        <w:t xml:space="preserve">−198.4 ± 15.1</w:t>
      </w:r>
    </w:p>
    <w:p>
      <w:pPr/>
      <w:r>
        <w:rPr>
          <w:rFonts w:ascii="Arial" w:hAnsi="Arial" w:cs="Arial"/>
          <w:sz w:val="26"/>
          <w:sz-cs w:val="26"/>
          <w:spacing w:val="0"/>
        </w:rPr>
        <w:t xml:space="preserve">−178.1 ± 31.8</w:t>
      </w:r>
    </w:p>
    <w:p>
      <w:pPr/>
      <w:r>
        <w:rPr>
          <w:rFonts w:ascii="Arial" w:hAnsi="Arial" w:cs="Arial"/>
          <w:sz w:val="26"/>
          <w:sz-cs w:val="26"/>
          <w:spacing w:val="0"/>
        </w:rPr>
        <w:t xml:space="preserve">0.40</w:t>
      </w:r>
    </w:p>
    <w:p>
      <w:pPr/>
      <w:r>
        <w:rPr>
          <w:rFonts w:ascii="Arial" w:hAnsi="Arial" w:cs="Arial"/>
          <w:sz w:val="26"/>
          <w:sz-cs w:val="26"/>
          <w:spacing w:val="0"/>
        </w:rPr>
        <w:t xml:space="preserve">−310.1 ± 36.3</w:t>
      </w:r>
    </w:p>
    <w:p>
      <w:pPr/>
      <w:r>
        <w:rPr>
          <w:rFonts w:ascii="Arial" w:hAnsi="Arial" w:cs="Arial"/>
          <w:sz w:val="26"/>
          <w:sz-cs w:val="26"/>
          <w:spacing w:val="0"/>
        </w:rPr>
        <w:t xml:space="preserve">−290.8 ± 4.7</w:t>
      </w:r>
    </w:p>
    <w:p>
      <w:pPr/>
      <w:r>
        <w:rPr>
          <w:rFonts w:ascii="Arial" w:hAnsi="Arial" w:cs="Arial"/>
          <w:sz w:val="26"/>
          <w:sz-cs w:val="26"/>
          <w:spacing w:val="0"/>
        </w:rPr>
        <w:t xml:space="preserve">0.45</w:t>
      </w:r>
    </w:p>
    <w:p>
      <w:pPr/>
      <w:r>
        <w:rPr>
          <w:rFonts w:ascii="Arial" w:hAnsi="Arial" w:cs="Arial"/>
          <w:sz w:val="26"/>
          <w:sz-cs w:val="26"/>
          <w:spacing w:val="0"/>
        </w:rPr>
        <w:t xml:space="preserve">ΔG interface 1</w:t>
      </w:r>
    </w:p>
    <w:p>
      <w:pPr/>
      <w:r>
        <w:rPr>
          <w:rFonts w:ascii="Arial" w:hAnsi="Arial" w:cs="Arial"/>
          <w:sz w:val="26"/>
          <w:sz-cs w:val="26"/>
          <w:spacing w:val="0"/>
        </w:rPr>
        <w:t xml:space="preserve">−113.8 ± 4.9</w:t>
      </w:r>
    </w:p>
    <w:p>
      <w:pPr/>
      <w:r>
        <w:rPr>
          <w:rFonts w:ascii="Arial" w:hAnsi="Arial" w:cs="Arial"/>
          <w:sz w:val="26"/>
          <w:sz-cs w:val="26"/>
          <w:spacing w:val="0"/>
        </w:rPr>
        <w:t xml:space="preserve">−107.0 ± 17.7</w:t>
      </w:r>
    </w:p>
    <w:p>
      <w:pPr/>
      <w:r>
        <w:rPr>
          <w:rFonts w:ascii="Arial" w:hAnsi="Arial" w:cs="Arial"/>
          <w:sz w:val="26"/>
          <w:sz-cs w:val="26"/>
          <w:spacing w:val="0"/>
        </w:rPr>
        <w:t xml:space="preserve">0.58</w:t>
      </w:r>
    </w:p>
    <w:p>
      <w:pPr/>
      <w:r>
        <w:rPr>
          <w:rFonts w:ascii="Arial" w:hAnsi="Arial" w:cs="Arial"/>
          <w:sz w:val="26"/>
          <w:sz-cs w:val="26"/>
          <w:spacing w:val="0"/>
        </w:rPr>
        <w:t xml:space="preserve">−157.6 ± 12.0</w:t>
      </w:r>
    </w:p>
    <w:p>
      <w:pPr/>
      <w:r>
        <w:rPr>
          <w:rFonts w:ascii="Arial" w:hAnsi="Arial" w:cs="Arial"/>
          <w:sz w:val="26"/>
          <w:sz-cs w:val="26"/>
          <w:spacing w:val="0"/>
        </w:rPr>
        <w:t xml:space="preserve">−149.2 ± 2.2</w:t>
      </w:r>
    </w:p>
    <w:p>
      <w:pPr/>
      <w:r>
        <w:rPr>
          <w:rFonts w:ascii="Arial" w:hAnsi="Arial" w:cs="Arial"/>
          <w:sz w:val="26"/>
          <w:sz-cs w:val="26"/>
          <w:spacing w:val="0"/>
        </w:rPr>
        <w:t xml:space="preserve">0.35</w:t>
      </w:r>
    </w:p>
    <w:p>
      <w:pPr/>
      <w:r>
        <w:rPr>
          <w:rFonts w:ascii="Arial" w:hAnsi="Arial" w:cs="Arial"/>
          <w:sz w:val="26"/>
          <w:sz-cs w:val="26"/>
          <w:spacing w:val="0"/>
        </w:rPr>
        <w:t xml:space="preserve">ΔG interface 2</w:t>
      </w:r>
    </w:p>
    <w:p>
      <w:pPr/>
      <w:r>
        <w:rPr>
          <w:rFonts w:ascii="Arial" w:hAnsi="Arial" w:cs="Arial"/>
          <w:sz w:val="26"/>
          <w:sz-cs w:val="26"/>
          <w:spacing w:val="0"/>
        </w:rPr>
        <w:t xml:space="preserve">−77.8 ± 15.2</w:t>
      </w:r>
    </w:p>
    <w:p>
      <w:pPr/>
      <w:r>
        <w:rPr>
          <w:rFonts w:ascii="Arial" w:hAnsi="Arial" w:cs="Arial"/>
          <w:sz w:val="26"/>
          <w:sz-cs w:val="26"/>
          <w:spacing w:val="0"/>
        </w:rPr>
        <w:t xml:space="preserve">−62.5 ± 11.2</w:t>
      </w:r>
    </w:p>
    <w:p>
      <w:pPr/>
      <w:r>
        <w:rPr>
          <w:rFonts w:ascii="Arial" w:hAnsi="Arial" w:cs="Arial"/>
          <w:sz w:val="26"/>
          <w:sz-cs w:val="26"/>
          <w:spacing w:val="0"/>
        </w:rPr>
        <w:t xml:space="preserve">0.24</w:t>
      </w:r>
    </w:p>
    <w:p>
      <w:pPr/>
      <w:r>
        <w:rPr>
          <w:rFonts w:ascii="Arial" w:hAnsi="Arial" w:cs="Arial"/>
          <w:sz w:val="26"/>
          <w:sz-cs w:val="26"/>
          <w:spacing w:val="0"/>
        </w:rPr>
        <w:t xml:space="preserve">−112.2 ± 15.6</w:t>
      </w:r>
    </w:p>
    <w:p>
      <w:pPr/>
      <w:r>
        <w:rPr>
          <w:rFonts w:ascii="Arial" w:hAnsi="Arial" w:cs="Arial"/>
          <w:sz w:val="26"/>
          <w:sz-cs w:val="26"/>
          <w:spacing w:val="0"/>
        </w:rPr>
        <w:t xml:space="preserve">−110.3 ± 3.8</w:t>
      </w:r>
    </w:p>
    <w:p>
      <w:pPr/>
      <w:r>
        <w:rPr>
          <w:rFonts w:ascii="Arial" w:hAnsi="Arial" w:cs="Arial"/>
          <w:sz w:val="26"/>
          <w:sz-cs w:val="26"/>
          <w:spacing w:val="0"/>
        </w:rPr>
        <w:t xml:space="preserve">0.86</w:t>
      </w:r>
    </w:p>
    <w:p>
      <w:pPr/>
      <w:r>
        <w:rPr>
          <w:rFonts w:ascii="Arial" w:hAnsi="Arial" w:cs="Arial"/>
          <w:sz w:val="26"/>
          <w:sz-cs w:val="26"/>
          <w:spacing w:val="0"/>
        </w:rPr>
        <w:t xml:space="preserve">Heparin-site salt bridges, FGF2 copy 1</w:t>
      </w:r>
    </w:p>
    <w:p>
      <w:pPr/>
      <w:r>
        <w:rPr>
          <w:rFonts w:ascii="Arial" w:hAnsi="Arial" w:cs="Arial"/>
          <w:sz w:val="26"/>
          <w:sz-cs w:val="26"/>
          <w:spacing w:val="0"/>
        </w:rPr>
        <w:t xml:space="preserve">10.7 ± 1.2</w:t>
      </w:r>
    </w:p>
    <w:p>
      <w:pPr/>
      <w:r>
        <w:rPr>
          <w:rFonts w:ascii="Arial" w:hAnsi="Arial" w:cs="Arial"/>
          <w:sz w:val="26"/>
          <w:sz-cs w:val="26"/>
          <w:spacing w:val="0"/>
        </w:rPr>
        <w:t xml:space="preserve">11.1 ± 1.1</w:t>
      </w:r>
    </w:p>
    <w:p>
      <w:pPr/>
      <w:r>
        <w:rPr>
          <w:rFonts w:ascii="Arial" w:hAnsi="Arial" w:cs="Arial"/>
          <w:sz w:val="26"/>
          <w:sz-cs w:val="26"/>
          <w:spacing w:val="0"/>
        </w:rPr>
        <w:t xml:space="preserve">0.67</w:t>
      </w:r>
    </w:p>
    <w:p>
      <w:pPr/>
      <w:r>
        <w:rPr>
          <w:rFonts w:ascii="Arial" w:hAnsi="Arial" w:cs="Arial"/>
          <w:sz w:val="26"/>
          <w:sz-cs w:val="26"/>
          <w:spacing w:val="0"/>
        </w:rPr>
        <w:t xml:space="preserve">11.2 ± 0.6</w:t>
      </w:r>
    </w:p>
    <w:p>
      <w:pPr/>
      <w:r>
        <w:rPr>
          <w:rFonts w:ascii="Arial" w:hAnsi="Arial" w:cs="Arial"/>
          <w:sz w:val="26"/>
          <w:sz-cs w:val="26"/>
          <w:spacing w:val="0"/>
        </w:rPr>
        <w:t xml:space="preserve">10.2 ± 1.3</w:t>
      </w:r>
    </w:p>
    <w:p>
      <w:pPr/>
      <w:r>
        <w:rPr>
          <w:rFonts w:ascii="Arial" w:hAnsi="Arial" w:cs="Arial"/>
          <w:sz w:val="26"/>
          <w:sz-cs w:val="26"/>
          <w:spacing w:val="0"/>
        </w:rPr>
        <w:t xml:space="preserve">0.30</w:t>
      </w:r>
    </w:p>
    <w:p>
      <w:pPr/>
      <w:r>
        <w:rPr>
          <w:rFonts w:ascii="Arial" w:hAnsi="Arial" w:cs="Arial"/>
          <w:sz w:val="26"/>
          <w:sz-cs w:val="26"/>
          <w:spacing w:val="0"/>
        </w:rPr>
        <w:t xml:space="preserve">FGFR–FGFR distance (Å)</w:t>
      </w:r>
    </w:p>
    <w:p>
      <w:pPr/>
      <w:r>
        <w:rPr>
          <w:rFonts w:ascii="Arial" w:hAnsi="Arial" w:cs="Arial"/>
          <w:sz w:val="26"/>
          <w:sz-cs w:val="26"/>
          <w:spacing w:val="0"/>
        </w:rPr>
        <w:t xml:space="preserve">48.9 ± 4.4</w:t>
      </w:r>
    </w:p>
    <w:p>
      <w:pPr/>
      <w:r>
        <w:rPr>
          <w:rFonts w:ascii="Arial" w:hAnsi="Arial" w:cs="Arial"/>
          <w:sz w:val="26"/>
          <w:sz-cs w:val="26"/>
          <w:spacing w:val="0"/>
        </w:rPr>
        <w:t xml:space="preserve">52.8 ± 6.6</w:t>
      </w:r>
    </w:p>
    <w:p>
      <w:pPr/>
      <w:r>
        <w:rPr>
          <w:rFonts w:ascii="Arial" w:hAnsi="Arial" w:cs="Arial"/>
          <w:sz w:val="26"/>
          <w:sz-cs w:val="26"/>
          <w:spacing w:val="0"/>
        </w:rPr>
        <w:t xml:space="preserve">0.46</w:t>
      </w:r>
    </w:p>
    <w:p>
      <w:pPr/>
      <w:r>
        <w:rPr>
          <w:rFonts w:ascii="Arial" w:hAnsi="Arial" w:cs="Arial"/>
          <w:sz w:val="26"/>
          <w:sz-cs w:val="26"/>
          <w:spacing w:val="0"/>
        </w:rPr>
        <w:t xml:space="preserve">23.4 ± 1.3</w:t>
      </w:r>
    </w:p>
    <w:p>
      <w:pPr/>
      <w:r>
        <w:rPr>
          <w:rFonts w:ascii="Arial" w:hAnsi="Arial" w:cs="Arial"/>
          <w:sz w:val="26"/>
          <w:sz-cs w:val="26"/>
          <w:spacing w:val="0"/>
        </w:rPr>
        <w:t xml:space="preserve">25.0 ± 0.6</w:t>
      </w:r>
    </w:p>
    <w:p>
      <w:pPr/>
      <w:r>
        <w:rPr>
          <w:rFonts w:ascii="Arial" w:hAnsi="Arial" w:cs="Arial"/>
          <w:sz w:val="26"/>
          <w:sz-cs w:val="26"/>
          <w:spacing w:val="0"/>
        </w:rPr>
        <w:t xml:space="preserve">0.16</w:t>
      </w:r>
    </w:p>
    <w:p>
      <w:pPr/>
      <w:r>
        <w:rPr>
          <w:rFonts w:ascii="Arial" w:hAnsi="Arial" w:cs="Arial"/>
          <w:sz w:val="26"/>
          <w:sz-cs w:val="26"/>
          <w:i/>
          <w:spacing w:val="0"/>
        </w:rPr>
        <w:t xml:space="preserve">Exploratory:</w:t>
      </w:r>
      <w:r>
        <w:rPr>
          <w:rFonts w:ascii="Arial" w:hAnsi="Arial" w:cs="Arial"/>
          <w:sz w:val="26"/>
          <w:sz-cs w:val="26"/>
          <w:spacing w:val="0"/>
        </w:rPr>
        <w:t xml:space="preserve"> ΔG FGF2–heparin (FGFR removed)</w:t>
      </w:r>
    </w:p>
    <w:p>
      <w:pPr/>
      <w:r>
        <w:rPr>
          <w:rFonts w:ascii="Arial" w:hAnsi="Arial" w:cs="Arial"/>
          <w:sz w:val="26"/>
          <w:sz-cs w:val="26"/>
          <w:spacing w:val="0"/>
        </w:rPr>
        <w:t xml:space="preserve">−140.9 ± 21.9</w:t>
      </w:r>
    </w:p>
    <w:p>
      <w:pPr/>
      <w:r>
        <w:rPr>
          <w:rFonts w:ascii="Arial" w:hAnsi="Arial" w:cs="Arial"/>
          <w:sz w:val="26"/>
          <w:sz-cs w:val="26"/>
          <w:spacing w:val="0"/>
        </w:rPr>
        <w:t xml:space="preserve">−134.8 ± 25.4</w:t>
      </w:r>
    </w:p>
    <w:p>
      <w:pPr/>
      <w:r>
        <w:rPr>
          <w:rFonts w:ascii="Arial" w:hAnsi="Arial" w:cs="Arial"/>
          <w:sz w:val="26"/>
          <w:sz-cs w:val="26"/>
          <w:spacing w:val="0"/>
        </w:rPr>
        <w:t xml:space="preserve">0.77</w:t>
      </w:r>
    </w:p>
    <w:p>
      <w:pPr/>
      <w:r>
        <w:rPr>
          <w:rFonts w:ascii="Arial" w:hAnsi="Arial" w:cs="Arial"/>
          <w:sz w:val="26"/>
          <w:sz-cs w:val="26"/>
          <w:spacing w:val="0"/>
        </w:rPr>
        <w:t xml:space="preserve">−134.8 ± 20.7</w:t>
      </w:r>
    </w:p>
    <w:p>
      <w:pPr/>
      <w:r>
        <w:rPr>
          <w:rFonts w:ascii="Arial" w:hAnsi="Arial" w:cs="Arial"/>
          <w:sz w:val="26"/>
          <w:sz-cs w:val="26"/>
          <w:spacing w:val="0"/>
        </w:rPr>
        <w:t xml:space="preserve">−137.0 ± 14.9</w:t>
      </w:r>
    </w:p>
    <w:p>
      <w:pPr/>
      <w:r>
        <w:rPr>
          <w:rFonts w:ascii="Arial" w:hAnsi="Arial" w:cs="Arial"/>
          <w:sz w:val="26"/>
          <w:sz-cs w:val="26"/>
          <w:spacing w:val="0"/>
        </w:rPr>
        <w:t xml:space="preserve">0.89</w:t>
      </w:r>
    </w:p>
    <w:p>
      <w:pPr/>
      <w:r>
        <w:rPr>
          <w:rFonts w:ascii="Arial" w:hAnsi="Arial" w:cs="Arial"/>
          <w:sz w:val="26"/>
          <w:sz-cs w:val="26"/>
          <w:i/>
          <w:spacing w:val="0"/>
        </w:rPr>
        <w:t xml:space="preserve">Exploratory:</w:t>
      </w:r>
      <w:r>
        <w:rPr>
          <w:rFonts w:ascii="Arial" w:hAnsi="Arial" w:cs="Arial"/>
          <w:sz w:val="26"/>
          <w:sz-cs w:val="26"/>
          <w:spacing w:val="0"/>
        </w:rPr>
        <w:t xml:space="preserve"> ΔG FGF2–FGFR (heparin removed)</w:t>
      </w:r>
    </w:p>
    <w:p>
      <w:pPr/>
      <w:r>
        <w:rPr>
          <w:rFonts w:ascii="Arial" w:hAnsi="Arial" w:cs="Arial"/>
          <w:sz w:val="26"/>
          <w:sz-cs w:val="26"/>
          <w:spacing w:val="0"/>
        </w:rPr>
        <w:t xml:space="preserve">−47.0 ± 4.3</w:t>
      </w:r>
    </w:p>
    <w:p>
      <w:pPr/>
      <w:r>
        <w:rPr>
          <w:rFonts w:ascii="Arial" w:hAnsi="Arial" w:cs="Arial"/>
          <w:sz w:val="26"/>
          <w:sz-cs w:val="26"/>
          <w:spacing w:val="0"/>
        </w:rPr>
        <w:t xml:space="preserve">−29.8 ± 5.2</w:t>
      </w:r>
    </w:p>
    <w:p>
      <w:pPr/>
      <w:r>
        <w:rPr>
          <w:rFonts w:ascii="Arial" w:hAnsi="Arial" w:cs="Arial"/>
          <w:sz w:val="26"/>
          <w:sz-cs w:val="26"/>
          <w:spacing w:val="0"/>
        </w:rPr>
        <w:t xml:space="preserve">0.01</w:t>
      </w:r>
    </w:p>
    <w:p>
      <w:pPr/>
      <w:r>
        <w:rPr>
          <w:rFonts w:ascii="Arial" w:hAnsi="Arial" w:cs="Arial"/>
          <w:sz w:val="26"/>
          <w:sz-cs w:val="26"/>
          <w:spacing w:val="0"/>
        </w:rPr>
        <w:t xml:space="preserve">−126.9 ± 7.2</w:t>
      </w:r>
    </w:p>
    <w:p>
      <w:pPr/>
      <w:r>
        <w:rPr>
          <w:rFonts w:ascii="Arial" w:hAnsi="Arial" w:cs="Arial"/>
          <w:sz w:val="26"/>
          <w:sz-cs w:val="26"/>
          <w:spacing w:val="0"/>
        </w:rPr>
        <w:t xml:space="preserve">−108.6 ± 14.3</w:t>
      </w:r>
    </w:p>
    <w:p>
      <w:pPr/>
      <w:r>
        <w:rPr>
          <w:rFonts w:ascii="Arial" w:hAnsi="Arial" w:cs="Arial"/>
          <w:sz w:val="26"/>
          <w:sz-cs w:val="26"/>
          <w:spacing w:val="0"/>
        </w:rPr>
        <w:t xml:space="preserve">0.14</w:t>
      </w:r>
    </w:p>
    <w:p>
      <w:pPr/>
      <w:r>
        <w:rPr>
          <w:rFonts w:ascii="Arial" w:hAnsi="Arial" w:cs="Arial"/>
          <w:sz w:val="26"/>
          <w:sz-cs w:val="26"/>
          <w:i/>
          <w:spacing w:val="0"/>
        </w:rPr>
        <w:t xml:space="preserve">Exploratory:</w:t>
      </w:r>
      <w:r>
        <w:rPr>
          <w:rFonts w:ascii="Arial" w:hAnsi="Arial" w:cs="Arial"/>
          <w:sz w:val="26"/>
          <w:sz-cs w:val="26"/>
          <w:spacing w:val="0"/>
        </w:rPr>
        <w:t xml:space="preserve"> Arg90 contribution, copy 1 / copy 2</w:t>
      </w:r>
    </w:p>
    <w:p>
      <w:pPr/>
      <w:r>
        <w:rPr>
          <w:rFonts w:ascii="Arial" w:hAnsi="Arial" w:cs="Arial"/>
          <w:sz w:val="26"/>
          <w:sz-cs w:val="26"/>
          <w:spacing w:val="0"/>
        </w:rPr>
        <w:t xml:space="preserve">−11.6 / −10.8</w:t>
      </w:r>
    </w:p>
    <w:p>
      <w:pPr/>
      <w:r>
        <w:rPr>
          <w:rFonts w:ascii="Arial" w:hAnsi="Arial" w:cs="Arial"/>
          <w:sz w:val="26"/>
          <w:sz-cs w:val="26"/>
          <w:spacing w:val="0"/>
        </w:rPr>
        <w:t xml:space="preserve">−2.0 / −0.5</w:t>
      </w:r>
    </w:p>
    <w:p>
      <w:pPr/>
      <w:r>
        <w:rPr>
          <w:rFonts w:ascii="Arial" w:hAnsi="Arial" w:cs="Arial"/>
          <w:sz w:val="26"/>
          <w:sz-cs w:val="26"/>
          <w:spacing w:val="0"/>
        </w:rPr>
        <w:t xml:space="preserve">0.12 / 0.07</w:t>
      </w:r>
    </w:p>
    <w:p>
      <w:pPr/>
      <w:r>
        <w:rPr>
          <w:rFonts w:ascii="Arial" w:hAnsi="Arial" w:cs="Arial"/>
          <w:sz w:val="26"/>
          <w:sz-cs w:val="26"/>
          <w:spacing w:val="0"/>
        </w:rPr>
        <w:t xml:space="preserve">−2.0 / −0.1</w:t>
      </w:r>
    </w:p>
    <w:p>
      <w:pPr/>
      <w:r>
        <w:rPr>
          <w:rFonts w:ascii="Arial" w:hAnsi="Arial" w:cs="Arial"/>
          <w:sz w:val="26"/>
          <w:sz-cs w:val="26"/>
          <w:spacing w:val="0"/>
        </w:rPr>
        <w:t xml:space="preserve">−2.7 / −0.1</w:t>
      </w:r>
    </w:p>
    <w:p>
      <w:pPr/>
      <w:r>
        <w:rPr>
          <w:rFonts w:ascii="Arial" w:hAnsi="Arial" w:cs="Arial"/>
          <w:sz w:val="26"/>
          <w:sz-cs w:val="26"/>
          <w:spacing w:val="0"/>
        </w:rPr>
        <w:t xml:space="preserve">0.23 / 0.85</w:t>
      </w:r>
    </w:p>
    <w:p>
      <w:pPr>
        <w:spacing w:after="266"/>
      </w:pPr>
      <w:r>
        <w:rPr>
          <w:rFonts w:ascii="Arial" w:hAnsi="Arial" w:cs="Arial"/>
          <w:sz w:val="26"/>
          <w:sz-cs w:val="26"/>
          <w:i/>
          <w:spacing w:val="0"/>
        </w:rPr>
        <w:t xml:space="preserve">kcal/mol unless stated. p: Welch t-test on replicate means, uncorrected. Exploratory rows were not in the pre-specified plan and should be read as hypothesis-generating.</w:t>
      </w:r>
      <w:r>
        <w:rPr>
          <w:rFonts w:ascii="Arial" w:hAnsi="Arial" w:cs="Arial"/>
          <w:sz w:val="26"/>
          <w:sz-cs w:val="26"/>
          <w:spacing w:val="0"/>
        </w:rPr>
        <w:t xml:space="preserve"/>
      </w:r>
    </w:p>
    <w:p>
      <w:pPr>
        <w:spacing w:after="343"/>
      </w:pPr>
      <w:r>
        <w:rPr>
          <w:rFonts w:ascii="Arial" w:hAnsi="Arial" w:cs="Arial"/>
          <w:sz w:val="34"/>
          <w:sz-cs w:val="34"/>
          <w:b/>
          <w:spacing w:val="0"/>
        </w:rPr>
        <w:t xml:space="preserve">Table 1 (draft). MM/GBSA binding energies (kcal/mol, mean ± SD across replicates)</w:t>
      </w:r>
    </w:p>
    <w:p>
      <w:pPr>
        <w:jc w:val="center"/>
      </w:pPr>
      <w:r>
        <w:rPr>
          <w:rFonts w:ascii="Arial" w:hAnsi="Arial" w:cs="Arial"/>
          <w:sz w:val="26"/>
          <w:sz-cs w:val="26"/>
          <w:b/>
          <w:spacing w:val="0"/>
        </w:rPr>
        <w:t xml:space="preserve">FGF2</w:t>
      </w:r>
    </w:p>
    <w:p>
      <w:pPr>
        <w:jc w:val="center"/>
      </w:pPr>
      <w:r>
        <w:rPr>
          <w:rFonts w:ascii="Arial" w:hAnsi="Arial" w:cs="Arial"/>
          <w:sz w:val="26"/>
          <w:sz-cs w:val="26"/>
          <w:b/>
          <w:spacing w:val="0"/>
        </w:rPr>
        <w:t xml:space="preserve">2:2:2 whole</w:t>
      </w:r>
    </w:p>
    <w:p>
      <w:pPr>
        <w:jc w:val="center"/>
      </w:pPr>
      <w:r>
        <w:rPr>
          <w:rFonts w:ascii="Arial" w:hAnsi="Arial" w:cs="Arial"/>
          <w:sz w:val="26"/>
          <w:sz-cs w:val="26"/>
          <w:b/>
          <w:spacing w:val="0"/>
        </w:rPr>
        <w:t xml:space="preserve">2:2:2 interface 1</w:t>
      </w:r>
    </w:p>
    <w:p>
      <w:pPr>
        <w:jc w:val="center"/>
      </w:pPr>
      <w:r>
        <w:rPr>
          <w:rFonts w:ascii="Arial" w:hAnsi="Arial" w:cs="Arial"/>
          <w:sz w:val="26"/>
          <w:sz-cs w:val="26"/>
          <w:b/>
          <w:spacing w:val="0"/>
        </w:rPr>
        <w:t xml:space="preserve">2:2:2 interface 2</w:t>
      </w:r>
    </w:p>
    <w:p>
      <w:pPr>
        <w:jc w:val="center"/>
      </w:pPr>
      <w:r>
        <w:rPr>
          <w:rFonts w:ascii="Arial" w:hAnsi="Arial" w:cs="Arial"/>
          <w:sz w:val="26"/>
          <w:sz-cs w:val="26"/>
          <w:b/>
          <w:spacing w:val="0"/>
        </w:rPr>
        <w:t xml:space="preserve">2:2:1 whole</w:t>
      </w:r>
    </w:p>
    <w:p>
      <w:pPr>
        <w:jc w:val="center"/>
      </w:pPr>
      <w:r>
        <w:rPr>
          <w:rFonts w:ascii="Arial" w:hAnsi="Arial" w:cs="Arial"/>
          <w:sz w:val="26"/>
          <w:sz-cs w:val="26"/>
          <w:b/>
          <w:spacing w:val="0"/>
        </w:rPr>
        <w:t xml:space="preserve">2:2:1 interface 1</w:t>
      </w:r>
    </w:p>
    <w:p>
      <w:pPr>
        <w:jc w:val="center"/>
      </w:pPr>
      <w:r>
        <w:rPr>
          <w:rFonts w:ascii="Arial" w:hAnsi="Arial" w:cs="Arial"/>
          <w:sz w:val="26"/>
          <w:sz-cs w:val="26"/>
          <w:b/>
          <w:spacing w:val="0"/>
        </w:rPr>
        <w:t xml:space="preserve">2:2:1 interface 2</w:t>
      </w:r>
    </w:p>
    <w:p>
      <w:pPr/>
      <w:r>
        <w:rPr>
          <w:rFonts w:ascii="Arial" w:hAnsi="Arial" w:cs="Arial"/>
          <w:sz w:val="26"/>
          <w:sz-cs w:val="26"/>
          <w:spacing w:val="0"/>
        </w:rPr>
        <w:t xml:space="preserve">Human</w:t>
      </w:r>
    </w:p>
    <w:p>
      <w:pPr/>
      <w:r>
        <w:rPr>
          <w:rFonts w:ascii="Arial" w:hAnsi="Arial" w:cs="Arial"/>
          <w:sz w:val="26"/>
          <w:sz-cs w:val="26"/>
          <w:spacing w:val="0"/>
        </w:rPr>
        <w:t xml:space="preserve">−353.4 ± 19.3 (4)</w:t>
      </w:r>
    </w:p>
    <w:p>
      <w:pPr/>
      <w:r>
        <w:rPr>
          <w:rFonts w:ascii="Arial" w:hAnsi="Arial" w:cs="Arial"/>
          <w:sz w:val="26"/>
          <w:sz-cs w:val="26"/>
          <w:spacing w:val="0"/>
        </w:rPr>
        <w:t xml:space="preserve">−149.5 ± 15.9</w:t>
      </w:r>
    </w:p>
    <w:p>
      <w:pPr/>
      <w:r>
        <w:rPr>
          <w:rFonts w:ascii="Arial" w:hAnsi="Arial" w:cs="Arial"/>
          <w:sz w:val="26"/>
          <w:sz-cs w:val="26"/>
          <w:spacing w:val="0"/>
        </w:rPr>
        <w:t xml:space="preserve">−141.1 ± 8.3</w:t>
      </w:r>
    </w:p>
    <w:p>
      <w:pPr/>
      <w:r>
        <w:rPr>
          <w:rFonts w:ascii="Arial" w:hAnsi="Arial" w:cs="Arial"/>
          <w:sz w:val="26"/>
          <w:sz-cs w:val="26"/>
          <w:spacing w:val="0"/>
        </w:rPr>
        <w:t xml:space="preserve">−155.3 ± 33.6 (5)</w:t>
      </w:r>
    </w:p>
    <w:p>
      <w:pPr/>
      <w:r>
        <w:rPr>
          <w:rFonts w:ascii="Arial" w:hAnsi="Arial" w:cs="Arial"/>
          <w:sz w:val="26"/>
          <w:sz-cs w:val="26"/>
          <w:spacing w:val="0"/>
        </w:rPr>
        <w:t xml:space="preserve">−108.3 ± 24.8</w:t>
      </w:r>
    </w:p>
    <w:p>
      <w:pPr/>
      <w:r>
        <w:rPr>
          <w:rFonts w:ascii="Arial" w:hAnsi="Arial" w:cs="Arial"/>
          <w:sz w:val="26"/>
          <w:sz-cs w:val="26"/>
          <w:spacing w:val="0"/>
        </w:rPr>
        <w:t xml:space="preserve">−44.7 ± 12.9</w:t>
      </w:r>
    </w:p>
    <w:p>
      <w:pPr/>
      <w:r>
        <w:rPr>
          <w:rFonts w:ascii="Arial" w:hAnsi="Arial" w:cs="Arial"/>
          <w:sz w:val="26"/>
          <w:sz-cs w:val="26"/>
          <w:spacing w:val="0"/>
        </w:rPr>
        <w:t xml:space="preserve">Human FGF2-STAB</w:t>
      </w:r>
    </w:p>
    <w:p>
      <w:pPr/>
      <w:r>
        <w:rPr>
          <w:rFonts w:ascii="Arial" w:hAnsi="Arial" w:cs="Arial"/>
          <w:sz w:val="26"/>
          <w:sz-cs w:val="26"/>
          <w:spacing w:val="0"/>
        </w:rPr>
        <w:t xml:space="preserve">−352.2 ± 10.0 (4)</w:t>
      </w:r>
    </w:p>
    <w:p>
      <w:pPr/>
      <w:r>
        <w:rPr>
          <w:rFonts w:ascii="Arial" w:hAnsi="Arial" w:cs="Arial"/>
          <w:sz w:val="26"/>
          <w:sz-cs w:val="26"/>
          <w:spacing w:val="0"/>
        </w:rPr>
        <w:t xml:space="preserve">−164.1 ± 4.9</w:t>
      </w:r>
    </w:p>
    <w:p>
      <w:pPr/>
      <w:r>
        <w:rPr>
          <w:rFonts w:ascii="Arial" w:hAnsi="Arial" w:cs="Arial"/>
          <w:sz w:val="26"/>
          <w:sz-cs w:val="26"/>
          <w:spacing w:val="0"/>
        </w:rPr>
        <w:t xml:space="preserve">−140.5 ± 6.9</w:t>
      </w:r>
    </w:p>
    <w:p>
      <w:pPr/>
      <w:r>
        <w:rPr>
          <w:rFonts w:ascii="Arial" w:hAnsi="Arial" w:cs="Arial"/>
          <w:sz w:val="26"/>
          <w:sz-cs w:val="26"/>
          <w:spacing w:val="0"/>
        </w:rPr>
        <w:t xml:space="preserve">−157.4 ± 20.7 (5)</w:t>
      </w:r>
    </w:p>
    <w:p>
      <w:pPr/>
      <w:r>
        <w:rPr>
          <w:rFonts w:ascii="Arial" w:hAnsi="Arial" w:cs="Arial"/>
          <w:sz w:val="26"/>
          <w:sz-cs w:val="26"/>
          <w:spacing w:val="0"/>
        </w:rPr>
        <w:t xml:space="preserve">−101.4 ± 15.9</w:t>
      </w:r>
    </w:p>
    <w:p>
      <w:pPr/>
      <w:r>
        <w:rPr>
          <w:rFonts w:ascii="Arial" w:hAnsi="Arial" w:cs="Arial"/>
          <w:sz w:val="26"/>
          <w:sz-cs w:val="26"/>
          <w:spacing w:val="0"/>
        </w:rPr>
        <w:t xml:space="preserve">−51.7 ± 10.2</w:t>
      </w:r>
    </w:p>
    <w:p>
      <w:pPr/>
      <w:r>
        <w:rPr>
          <w:rFonts w:ascii="Arial" w:hAnsi="Arial" w:cs="Arial"/>
          <w:sz w:val="26"/>
          <w:sz-cs w:val="26"/>
          <w:spacing w:val="0"/>
        </w:rPr>
        <w:t xml:space="preserve">Bovine FGF2-STAB</w:t>
      </w:r>
    </w:p>
    <w:p>
      <w:pPr/>
      <w:r>
        <w:rPr>
          <w:rFonts w:ascii="Arial" w:hAnsi="Arial" w:cs="Arial"/>
          <w:sz w:val="26"/>
          <w:sz-cs w:val="26"/>
          <w:spacing w:val="0"/>
        </w:rPr>
        <w:t xml:space="preserve">−351.2 ± 12.8 (5)</w:t>
      </w:r>
    </w:p>
    <w:p>
      <w:pPr/>
      <w:r>
        <w:rPr>
          <w:rFonts w:ascii="Arial" w:hAnsi="Arial" w:cs="Arial"/>
          <w:sz w:val="26"/>
          <w:sz-cs w:val="26"/>
          <w:spacing w:val="0"/>
        </w:rPr>
        <w:t xml:space="preserve">−159.3 ± 10.8</w:t>
      </w:r>
    </w:p>
    <w:p>
      <w:pPr/>
      <w:r>
        <w:rPr>
          <w:rFonts w:ascii="Arial" w:hAnsi="Arial" w:cs="Arial"/>
          <w:sz w:val="26"/>
          <w:sz-cs w:val="26"/>
          <w:spacing w:val="0"/>
        </w:rPr>
        <w:t xml:space="preserve">−136.6 ± 10.1</w:t>
      </w:r>
    </w:p>
    <w:p>
      <w:pPr/>
      <w:r>
        <w:rPr>
          <w:rFonts w:ascii="Arial" w:hAnsi="Arial" w:cs="Arial"/>
          <w:sz w:val="26"/>
          <w:sz-cs w:val="26"/>
          <w:spacing w:val="0"/>
        </w:rPr>
        <w:t xml:space="preserve">−159.2 ± 18.1 (4)</w:t>
      </w:r>
    </w:p>
    <w:p>
      <w:pPr/>
      <w:r>
        <w:rPr>
          <w:rFonts w:ascii="Arial" w:hAnsi="Arial" w:cs="Arial"/>
          <w:sz w:val="26"/>
          <w:sz-cs w:val="26"/>
          <w:spacing w:val="0"/>
        </w:rPr>
        <w:t xml:space="preserve">−103.2 ± 13.8</w:t>
      </w:r>
    </w:p>
    <w:p>
      <w:pPr/>
      <w:r>
        <w:rPr>
          <w:rFonts w:ascii="Arial" w:hAnsi="Arial" w:cs="Arial"/>
          <w:sz w:val="26"/>
          <w:sz-cs w:val="26"/>
          <w:spacing w:val="0"/>
        </w:rPr>
        <w:t xml:space="preserve">−53.7 ± 12.5</w:t>
      </w:r>
    </w:p>
    <w:p>
      <w:pPr/>
      <w:r>
        <w:rPr>
          <w:rFonts w:ascii="Arial" w:hAnsi="Arial" w:cs="Arial"/>
          <w:sz w:val="26"/>
          <w:sz-cs w:val="26"/>
          <w:spacing w:val="0"/>
        </w:rPr>
        <w:t xml:space="preserve">Goldfish</w:t>
      </w:r>
    </w:p>
    <w:p>
      <w:pPr/>
      <w:r>
        <w:rPr>
          <w:rFonts w:ascii="Arial" w:hAnsi="Arial" w:cs="Arial"/>
          <w:sz w:val="26"/>
          <w:sz-cs w:val="26"/>
          <w:spacing w:val="0"/>
        </w:rPr>
        <w:t xml:space="preserve">−358.7 ± 19.2 (5)</w:t>
      </w:r>
    </w:p>
    <w:p>
      <w:pPr/>
      <w:r>
        <w:rPr>
          <w:rFonts w:ascii="Arial" w:hAnsi="Arial" w:cs="Arial"/>
          <w:sz w:val="26"/>
          <w:sz-cs w:val="26"/>
          <w:spacing w:val="0"/>
        </w:rPr>
        <w:t xml:space="preserve">−163.0 ± 12.2</w:t>
      </w:r>
    </w:p>
    <w:p>
      <w:pPr/>
      <w:r>
        <w:rPr>
          <w:rFonts w:ascii="Arial" w:hAnsi="Arial" w:cs="Arial"/>
          <w:sz w:val="26"/>
          <w:sz-cs w:val="26"/>
          <w:spacing w:val="0"/>
        </w:rPr>
        <w:t xml:space="preserve">−139.9 ± 7.5</w:t>
      </w:r>
    </w:p>
    <w:p>
      <w:pPr/>
      <w:r>
        <w:rPr>
          <w:rFonts w:ascii="Arial" w:hAnsi="Arial" w:cs="Arial"/>
          <w:sz w:val="26"/>
          <w:sz-cs w:val="26"/>
          <w:spacing w:val="0"/>
        </w:rPr>
        <w:t xml:space="preserve">−159.4 ± 10.2 (5)</w:t>
      </w:r>
    </w:p>
    <w:p>
      <w:pPr/>
      <w:r>
        <w:rPr>
          <w:rFonts w:ascii="Arial" w:hAnsi="Arial" w:cs="Arial"/>
          <w:sz w:val="26"/>
          <w:sz-cs w:val="26"/>
          <w:spacing w:val="0"/>
        </w:rPr>
        <w:t xml:space="preserve">−98.6 ± 1.9</w:t>
      </w:r>
    </w:p>
    <w:p>
      <w:pPr/>
      <w:r>
        <w:rPr>
          <w:rFonts w:ascii="Arial" w:hAnsi="Arial" w:cs="Arial"/>
          <w:sz w:val="26"/>
          <w:sz-cs w:val="26"/>
          <w:spacing w:val="0"/>
        </w:rPr>
        <w:t xml:space="preserve">−58.0 ± 8.9</w:t>
      </w:r>
    </w:p>
    <w:p>
      <w:pPr/>
      <w:r>
        <w:rPr>
          <w:rFonts w:ascii="Arial" w:hAnsi="Arial" w:cs="Arial"/>
          <w:sz w:val="26"/>
          <w:sz-cs w:val="26"/>
          <w:spacing w:val="0"/>
        </w:rPr>
        <w:t xml:space="preserve">Zebrafish</w:t>
      </w:r>
    </w:p>
    <w:p>
      <w:pPr/>
      <w:r>
        <w:rPr>
          <w:rFonts w:ascii="Arial" w:hAnsi="Arial" w:cs="Arial"/>
          <w:sz w:val="26"/>
          <w:sz-cs w:val="26"/>
          <w:spacing w:val="0"/>
        </w:rPr>
        <w:t xml:space="preserve">−348.1 ± 28.1 (4)</w:t>
      </w:r>
    </w:p>
    <w:p>
      <w:pPr/>
      <w:r>
        <w:rPr>
          <w:rFonts w:ascii="Arial" w:hAnsi="Arial" w:cs="Arial"/>
          <w:sz w:val="26"/>
          <w:sz-cs w:val="26"/>
          <w:spacing w:val="0"/>
        </w:rPr>
        <w:t xml:space="preserve">−160.3 ± 18.0</w:t>
      </w:r>
    </w:p>
    <w:p>
      <w:pPr/>
      <w:r>
        <w:rPr>
          <w:rFonts w:ascii="Arial" w:hAnsi="Arial" w:cs="Arial"/>
          <w:sz w:val="26"/>
          <w:sz-cs w:val="26"/>
          <w:spacing w:val="0"/>
        </w:rPr>
        <w:t xml:space="preserve">−131.9 ± 17.8</w:t>
      </w:r>
    </w:p>
    <w:p>
      <w:pPr/>
      <w:r>
        <w:rPr>
          <w:rFonts w:ascii="Arial" w:hAnsi="Arial" w:cs="Arial"/>
          <w:sz w:val="26"/>
          <w:sz-cs w:val="26"/>
          <w:spacing w:val="0"/>
        </w:rPr>
        <w:t xml:space="preserve">[pending]</w:t>
      </w:r>
    </w:p>
    <w:p>
      <w:pPr/>
      <w:r>
        <w:rPr>
          <w:rFonts w:ascii="Arial" w:hAnsi="Arial" w:cs="Arial"/>
          <w:sz w:val="26"/>
          <w:sz-cs w:val="26"/>
          <w:spacing w:val="0"/>
        </w:rPr>
        <w:t xml:space="preserve">[pending]</w:t>
      </w:r>
    </w:p>
    <w:p>
      <w:pPr/>
      <w:r>
        <w:rPr>
          <w:rFonts w:ascii="Arial" w:hAnsi="Arial" w:cs="Arial"/>
          <w:sz w:val="26"/>
          <w:sz-cs w:val="26"/>
          <w:spacing w:val="0"/>
        </w:rPr>
        <w:t xml:space="preserve">[pending]</w:t>
      </w:r>
    </w:p>
    <w:p>
      <w:pPr/>
      <w:r>
        <w:rPr>
          <w:rFonts w:ascii="Arial" w:hAnsi="Arial" w:cs="Arial"/>
          <w:sz w:val="26"/>
          <w:sz-cs w:val="26"/>
          <w:spacing w:val="0"/>
        </w:rPr>
        <w:t xml:space="preserve">Japanese rice fish</w:t>
      </w:r>
    </w:p>
    <w:p>
      <w:pPr/>
      <w:r>
        <w:rPr>
          <w:rFonts w:ascii="Arial" w:hAnsi="Arial" w:cs="Arial"/>
          <w:sz w:val="26"/>
          <w:sz-cs w:val="26"/>
          <w:spacing w:val="0"/>
        </w:rPr>
        <w:t xml:space="preserve">−359.0 ± 25.4 (5)</w:t>
      </w:r>
    </w:p>
    <w:p>
      <w:pPr/>
      <w:r>
        <w:rPr>
          <w:rFonts w:ascii="Arial" w:hAnsi="Arial" w:cs="Arial"/>
          <w:sz w:val="26"/>
          <w:sz-cs w:val="26"/>
          <w:spacing w:val="0"/>
        </w:rPr>
        <w:t xml:space="preserve">−163.1 ± 11.5</w:t>
      </w:r>
    </w:p>
    <w:p>
      <w:pPr/>
      <w:r>
        <w:rPr>
          <w:rFonts w:ascii="Arial" w:hAnsi="Arial" w:cs="Arial"/>
          <w:sz w:val="26"/>
          <w:sz-cs w:val="26"/>
          <w:spacing w:val="0"/>
        </w:rPr>
        <w:t xml:space="preserve">−139.9 ± 15.1</w:t>
      </w:r>
    </w:p>
    <w:p>
      <w:pPr/>
      <w:r>
        <w:rPr>
          <w:rFonts w:ascii="Arial" w:hAnsi="Arial" w:cs="Arial"/>
          <w:sz w:val="26"/>
          <w:sz-cs w:val="26"/>
          <w:spacing w:val="0"/>
        </w:rPr>
        <w:t xml:space="preserve">−130.2 ± 14.9 (5)</w:t>
      </w:r>
    </w:p>
    <w:p>
      <w:pPr/>
      <w:r>
        <w:rPr>
          <w:rFonts w:ascii="Arial" w:hAnsi="Arial" w:cs="Arial"/>
          <w:sz w:val="26"/>
          <w:sz-cs w:val="26"/>
          <w:spacing w:val="0"/>
        </w:rPr>
        <w:t xml:space="preserve">−84.0 ± 11.2</w:t>
      </w:r>
    </w:p>
    <w:p>
      <w:pPr/>
      <w:r>
        <w:rPr>
          <w:rFonts w:ascii="Arial" w:hAnsi="Arial" w:cs="Arial"/>
          <w:sz w:val="26"/>
          <w:sz-cs w:val="26"/>
          <w:spacing w:val="0"/>
        </w:rPr>
        <w:t xml:space="preserve">−45.5 ± 11.3</w:t>
      </w:r>
    </w:p>
    <w:p>
      <w:pPr/>
      <w:r>
        <w:rPr>
          <w:rFonts w:ascii="Arial" w:hAnsi="Arial" w:cs="Arial"/>
          <w:sz w:val="26"/>
          <w:sz-cs w:val="26"/>
          <w:spacing w:val="0"/>
        </w:rPr>
        <w:t xml:space="preserve">Chinook salmon</w:t>
      </w:r>
    </w:p>
    <w:p>
      <w:pPr/>
      <w:r>
        <w:rPr>
          <w:rFonts w:ascii="Arial" w:hAnsi="Arial" w:cs="Arial"/>
          <w:sz w:val="26"/>
          <w:sz-cs w:val="26"/>
          <w:spacing w:val="0"/>
        </w:rPr>
        <w:t xml:space="preserve">−362.9 ± 19.6 (5)</w:t>
      </w:r>
    </w:p>
    <w:p>
      <w:pPr/>
      <w:r>
        <w:rPr>
          <w:rFonts w:ascii="Arial" w:hAnsi="Arial" w:cs="Arial"/>
          <w:sz w:val="26"/>
          <w:sz-cs w:val="26"/>
          <w:spacing w:val="0"/>
        </w:rPr>
        <w:t xml:space="preserve">−165.2 ± 15.0</w:t>
      </w:r>
    </w:p>
    <w:p>
      <w:pPr/>
      <w:r>
        <w:rPr>
          <w:rFonts w:ascii="Arial" w:hAnsi="Arial" w:cs="Arial"/>
          <w:sz w:val="26"/>
          <w:sz-cs w:val="26"/>
          <w:spacing w:val="0"/>
        </w:rPr>
        <w:t xml:space="preserve">−140.0 ± 6.9</w:t>
      </w:r>
    </w:p>
    <w:p>
      <w:pPr/>
      <w:r>
        <w:rPr>
          <w:rFonts w:ascii="Arial" w:hAnsi="Arial" w:cs="Arial"/>
          <w:sz w:val="26"/>
          <w:sz-cs w:val="26"/>
          <w:spacing w:val="0"/>
        </w:rPr>
        <w:t xml:space="preserve">−154.0 ± 11.2 (5)</w:t>
      </w:r>
    </w:p>
    <w:p>
      <w:pPr/>
      <w:r>
        <w:rPr>
          <w:rFonts w:ascii="Arial" w:hAnsi="Arial" w:cs="Arial"/>
          <w:sz w:val="26"/>
          <w:sz-cs w:val="26"/>
          <w:spacing w:val="0"/>
        </w:rPr>
        <w:t xml:space="preserve">−95.3 ± 6.6</w:t>
      </w:r>
    </w:p>
    <w:p>
      <w:pPr/>
      <w:r>
        <w:rPr>
          <w:rFonts w:ascii="Arial" w:hAnsi="Arial" w:cs="Arial"/>
          <w:sz w:val="26"/>
          <w:sz-cs w:val="26"/>
          <w:spacing w:val="0"/>
        </w:rPr>
        <w:t xml:space="preserve">−56.1 ± 5.6</w:t>
      </w:r>
    </w:p>
    <w:p>
      <w:pPr/>
      <w:r>
        <w:rPr>
          <w:rFonts w:ascii="Arial" w:hAnsi="Arial" w:cs="Arial"/>
          <w:sz w:val="26"/>
          <w:sz-cs w:val="26"/>
          <w:spacing w:val="0"/>
        </w:rPr>
        <w:t xml:space="preserve">One-way ANOVA p</w:t>
      </w:r>
    </w:p>
    <w:p>
      <w:pPr/>
      <w:r>
        <w:rPr>
          <w:rFonts w:ascii="Arial" w:hAnsi="Arial" w:cs="Arial"/>
          <w:sz w:val="26"/>
          <w:sz-cs w:val="26"/>
          <w:spacing w:val="0"/>
        </w:rPr>
        <w:t xml:space="preserve">0.92</w:t>
      </w:r>
    </w:p>
    <w:p>
      <w:pPr/>
      <w:r>
        <w:rPr>
          <w:rFonts w:ascii="Arial" w:hAnsi="Arial" w:cs="Arial"/>
          <w:sz w:val="26"/>
          <w:sz-cs w:val="26"/>
          <w:spacing w:val="0"/>
        </w:rPr>
        <w:t xml:space="preserve">0.66</w:t>
      </w:r>
    </w:p>
    <w:p>
      <w:pPr/>
      <w:r>
        <w:rPr>
          <w:rFonts w:ascii="Arial" w:hAnsi="Arial" w:cs="Arial"/>
          <w:sz w:val="26"/>
          <w:sz-cs w:val="26"/>
          <w:spacing w:val="0"/>
        </w:rPr>
        <w:t xml:space="preserve">0.89</w:t>
      </w:r>
    </w:p>
    <w:p>
      <w:pPr/>
      <w:r>
        <w:rPr>
          <w:rFonts w:ascii="Arial" w:hAnsi="Arial" w:cs="Arial"/>
          <w:sz w:val="26"/>
          <w:sz-cs w:val="26"/>
          <w:spacing w:val="0"/>
        </w:rPr>
        <w:t xml:space="preserve">0.21</w:t>
      </w:r>
    </w:p>
    <w:p>
      <w:pPr/>
      <w:r>
        <w:rPr>
          <w:rFonts w:ascii="Arial" w:hAnsi="Arial" w:cs="Arial"/>
          <w:sz w:val="26"/>
          <w:sz-cs w:val="26"/>
          <w:spacing w:val="0"/>
        </w:rPr>
        <w:t xml:space="preserve">0.18</w:t>
      </w:r>
    </w:p>
    <w:p>
      <w:pPr/>
      <w:r>
        <w:rPr>
          <w:rFonts w:ascii="Arial" w:hAnsi="Arial" w:cs="Arial"/>
          <w:sz w:val="26"/>
          <w:sz-cs w:val="26"/>
          <w:spacing w:val="0"/>
        </w:rPr>
        <w:t xml:space="preserve">0.27</w:t>
      </w:r>
    </w:p>
    <w:p>
      <w:pPr>
        <w:spacing w:after="266"/>
      </w:pPr>
      <w:r>
        <w:rPr>
          <w:rFonts w:ascii="Arial" w:hAnsi="Arial" w:cs="Arial"/>
          <w:sz w:val="26"/>
          <w:sz-cs w:val="26"/>
          <w:i/>
          <w:spacing w:val="0"/>
        </w:rPr>
        <w:t xml:space="preserve">Number of replicates in parentheses. More negative = stronger binding. ΔG excludes conformational entropy and is meaningful for relative comparison only. Per-interface and whole-assembly values are not additive.</w:t>
      </w:r>
      <w:r>
        <w:rPr>
          <w:rFonts w:ascii="Arial" w:hAnsi="Arial" w:cs="Arial"/>
          <w:sz w:val="26"/>
          <w:sz-cs w:val="26"/>
          <w:spacing w:val="0"/>
        </w:rPr>
        <w:t xml:space="preserve"> [Update the zebrafish 2:2:1 values and the n = 4 entries when the remaining replicates are analysed.]</w:t>
      </w:r>
    </w:p>
    <w:p>
      <w:pPr>
        <w:spacing w:after="365"/>
      </w:pPr>
      <w:r>
        <w:rPr>
          <w:rFonts w:ascii="Arial" w:hAnsi="Arial" w:cs="Arial"/>
          <w:sz w:val="44"/>
          <w:sz-cs w:val="44"/>
          <w:b/>
          <w:spacing w:val="0"/>
        </w:rPr>
        <w:t xml:space="preserve">4. Discussion – replacements</w:t>
      </w:r>
    </w:p>
    <w:p>
      <w:pPr>
        <w:spacing w:after="293"/>
      </w:pPr>
      <w:r>
        <w:rPr>
          <w:rFonts w:ascii="Arial" w:hAnsi="Arial" w:cs="Arial"/>
          <w:sz w:val="29"/>
          <w:sz-cs w:val="29"/>
          <w:b/>
          <w:spacing w:val="0"/>
        </w:rPr>
        <w:t xml:space="preserve">Replace</w:t>
      </w:r>
      <w:r>
        <w:rPr>
          <w:rFonts w:ascii="Arial" w:hAnsi="Arial" w:cs="Arial"/>
          <w:sz w:val="29"/>
          <w:sz-cs w:val="29"/>
          <w:spacing w:val="0"/>
        </w:rPr>
        <w:t xml:space="preserve"> “Experimental results are validated by modeling approaches using molecular dynamics simulations. The modeling results add mechanistic understanding, as the goldfish FGF2 exhibited lower binding energy compared to human FGF2.” </w:t>
      </w:r>
      <w:r>
        <w:rPr>
          <w:rFonts w:ascii="Arial" w:hAnsi="Arial" w:cs="Arial"/>
          <w:sz w:val="29"/>
          <w:sz-cs w:val="29"/>
          <w:b/>
          <w:spacing w:val="0"/>
        </w:rPr>
        <w:t xml:space="preserve">with:</w:t>
      </w:r>
      <w:r>
        <w:rPr>
          <w:rFonts w:ascii="Arial" w:hAnsi="Arial" w:cs="Arial"/>
          <w:sz w:val="29"/>
          <w:sz-cs w:val="29"/>
          <w:spacing w:val="0"/>
        </w:rPr>
        <w:t xml:space="preserve"/>
      </w:r>
    </w:p>
    <w:p>
      <w:pPr>
        <w:spacing w:after="293"/>
      </w:pPr>
      <w:r>
        <w:rPr>
          <w:rFonts w:ascii="Arial" w:hAnsi="Arial" w:cs="Arial"/>
          <w:sz w:val="29"/>
          <w:sz-cs w:val="29"/>
          <w:spacing w:val="0"/>
        </w:rPr>
        <w:t xml:space="preserve">Molecular dynamics simulations showed that the FGF2–FGFR–heparin binding energy and the receptor and heparin binding surfaces are conserved across the orthologs tested, so the advantage of goldfish FGF2 is unlikely to arise from stronger receptor binding alone.</w:t>
      </w:r>
    </w:p>
    <w:p>
      <w:pPr>
        <w:spacing w:after="293"/>
      </w:pPr>
      <w:r>
        <w:rPr>
          <w:rFonts w:ascii="Arial" w:hAnsi="Arial" w:cs="Arial"/>
          <w:sz w:val="29"/>
          <w:sz-cs w:val="29"/>
          <w:b/>
          <w:spacing w:val="0"/>
        </w:rPr>
        <w:t xml:space="preserve">Replace</w:t>
      </w:r>
      <w:r>
        <w:rPr>
          <w:rFonts w:ascii="Arial" w:hAnsi="Arial" w:cs="Arial"/>
          <w:sz w:val="29"/>
          <w:sz-cs w:val="29"/>
          <w:spacing w:val="0"/>
        </w:rPr>
        <w:t xml:space="preserve"> the paragraph beginning “The improvements in Beefy-9 …” from “Nonetheless, the screening of the fish orthologs …” to the end of the paragraph </w:t>
      </w:r>
      <w:r>
        <w:rPr>
          <w:rFonts w:ascii="Arial" w:hAnsi="Arial" w:cs="Arial"/>
          <w:sz w:val="29"/>
          <w:sz-cs w:val="29"/>
          <w:b/>
          <w:spacing w:val="0"/>
        </w:rPr>
        <w:t xml:space="preserve">with:</w:t>
      </w:r>
      <w:r>
        <w:rPr>
          <w:rFonts w:ascii="Arial" w:hAnsi="Arial" w:cs="Arial"/>
          <w:sz w:val="29"/>
          <w:sz-cs w:val="29"/>
          <w:spacing w:val="0"/>
        </w:rPr>
        <w:t xml:space="preserve"/>
      </w:r>
    </w:p>
    <w:p>
      <w:pPr>
        <w:spacing w:after="293"/>
      </w:pPr>
      <w:r>
        <w:rPr>
          <w:rFonts w:ascii="Arial" w:hAnsi="Arial" w:cs="Arial"/>
          <w:sz w:val="29"/>
          <w:sz-cs w:val="29"/>
          <w:spacing w:val="0"/>
        </w:rPr>
        <w:t xml:space="preserve">The simulations did not resolve a difference in receptor binding between goldfish and human FGF2. The binding surfaces are largely conserved, and the computed binding energies were indistinguishable across all seven orthologs. Other properties are therefore more likely to explain the better performance of goldfish FGF2. These include stability in culture at 37 °C, the amount of active protein in each preparation, and its interaction with heparin and cell-surface heparan sulfate. The one consistent species difference in the 50 ns simulations concerned heparin, not the receptor. When both FGF2 molecules shared a single heparin chain, goldfish FGF2 recruited the conserved Arg90 to heparin, and human FGF2 did not. When each FGF2 had its own heparin, the two species behaved alike. This parallels the experimental finding that the goldfish advantage appears in the 2:2:1 condition and disappears in the 2:2:2 condition. In the simulations, however, the alternative binding mode was offset by weaker contributions from the canonical heparin-binding residues, so it did not yield a measurably stronger net interaction. It can be tested directly: if Arg90 underlies the effect, an Arg90Ala substitution should reduce the goldfish advantage in the single-heparin condition while leaving the two-heparin condition largely unchanged. The heparin dependence also connects with the strong effect of heparinase. One possibility is that intact heparin and heparan sulfate partly sequester FGF2 in non-productive complexes, and that heparinase digestion relieves this, as previously reported for vascular smooth muscle cell glycosaminoglycans</w:t>
      </w:r>
      <w:r>
        <w:rPr>
          <w:rFonts w:ascii="Arial" w:hAnsi="Arial" w:cs="Arial"/>
          <w:sz w:val="24"/>
          <w:sz-cs w:val="24"/>
          <w:vertAlign w:val="superscript"/>
          <w:spacing w:val="0"/>
        </w:rPr>
        <w:t xml:space="preserve">16</w:t>
      </w:r>
      <w:r>
        <w:rPr>
          <w:rFonts w:ascii="Arial" w:hAnsi="Arial" w:cs="Arial"/>
          <w:sz w:val="29"/>
          <w:sz-cs w:val="29"/>
          <w:spacing w:val="0"/>
        </w:rPr>
        <w:t xml:space="preserve">. Characterizing the heparin fragments present in heparinase-treated media would help test this</w:t>
      </w:r>
      <w:r>
        <w:rPr>
          <w:rFonts w:ascii="Arial" w:hAnsi="Arial" w:cs="Arial"/>
          <w:sz w:val="24"/>
          <w:sz-cs w:val="24"/>
          <w:vertAlign w:val="superscript"/>
          <w:spacing w:val="0"/>
        </w:rPr>
        <w:t xml:space="preserve">17</w:t>
      </w:r>
      <w:r>
        <w:rPr>
          <w:rFonts w:ascii="Arial" w:hAnsi="Arial" w:cs="Arial"/>
          <w:sz w:val="29"/>
          <w:sz-cs w:val="29"/>
          <w:spacing w:val="0"/>
        </w:rPr>
        <w:t xml:space="preserve">. Using simulation as an in silico screen for orthologs is attractive. However, the differences that matter in culture correspond to binding free energy differences of about 1 kcal/mol, below the precision of MM/GBSA even with 50 ns sampling. Here, replicate-to-replicate variation (SD 15–35 kcal/mol) dominated the uncertainty, so many independent replicates help more than longer single trajectories. Screening will therefore need many more replicates or alchemical free energy calculations focused on individual interface substitutions. Paired with the in vitro data generated here and in future ortholog screens, such datasets could support machine-learning models that prioritize natural or de novo FGF2 sequences for cultivated meat media.</w:t>
      </w:r>
    </w:p>
    <w:p>
      <w:pPr>
        <w:spacing w:after="293"/>
      </w:pPr>
      <w:r>
        <w:rPr>
          <w:rFonts w:ascii="Arial" w:hAnsi="Arial" w:cs="Arial"/>
          <w:sz w:val="29"/>
          <w:sz-cs w:val="29"/>
          <w:b/>
          <w:spacing w:val="0"/>
        </w:rPr>
        <w:t xml:space="preserve">Add</w:t>
      </w:r>
      <w:r>
        <w:rPr>
          <w:rFonts w:ascii="Arial" w:hAnsi="Arial" w:cs="Arial"/>
          <w:sz w:val="29"/>
          <w:sz-cs w:val="29"/>
          <w:spacing w:val="0"/>
        </w:rPr>
        <w:t xml:space="preserve"> (receptor species; reviewers will ask):</w:t>
      </w:r>
    </w:p>
    <w:p>
      <w:pPr>
        <w:spacing w:after="293"/>
      </w:pPr>
      <w:r>
        <w:rPr>
          <w:rFonts w:ascii="Arial" w:hAnsi="Arial" w:cs="Arial"/>
          <w:sz w:val="29"/>
          <w:sz-cs w:val="29"/>
          <w:spacing w:val="0"/>
        </w:rPr>
        <w:t xml:space="preserve">The simulations used human FGFR1 (from 1FQ9) and FGFR2 (from 1E0O) because these are the receptors in the available crystal structures. The modeled FGFR2 domains are 97% identical to bovine FGFR2. The modeled FGFR1 domains are identical to bovine FGFR1 up to residue 312. The remaining differences fall in the alternatively spliced IIIb/IIIc exon of the D3 domain rather than at the FGF2- or heparin-binding sites. [Confirm against the bovine FGFR1c sequence.]</w:t>
      </w:r>
    </w:p>
    <w:p>
      <w:pPr>
        <w:spacing w:after="365"/>
      </w:pPr>
      <w:r>
        <w:rPr>
          <w:rFonts w:ascii="Arial" w:hAnsi="Arial" w:cs="Arial"/>
          <w:sz w:val="44"/>
          <w:sz-cs w:val="44"/>
          <w:b/>
          <w:spacing w:val="0"/>
        </w:rPr>
        <w:t xml:space="preserve">5. Methods – new sections</w:t>
      </w:r>
    </w:p>
    <w:p>
      <w:pPr>
        <w:spacing w:after="343"/>
      </w:pPr>
      <w:r>
        <w:rPr>
          <w:rFonts w:ascii="Arial" w:hAnsi="Arial" w:cs="Arial"/>
          <w:sz w:val="34"/>
          <w:sz-cs w:val="34"/>
          <w:b/>
          <w:spacing w:val="0"/>
        </w:rPr>
        <w:t xml:space="preserve">2.7 Structural models and system preparation</w:t>
      </w:r>
    </w:p>
    <w:p>
      <w:pPr>
        <w:spacing w:after="293"/>
      </w:pPr>
      <w:r>
        <w:rPr>
          <w:rFonts w:ascii="Arial" w:hAnsi="Arial" w:cs="Arial"/>
          <w:sz w:val="29"/>
          <w:sz-cs w:val="29"/>
          <w:spacing w:val="0"/>
        </w:rPr>
        <w:t xml:space="preserve">Structures of the FGF2 orthologs (human, human FGF2-STAB, bovine FGF2-STAB, goldfish, zebrafish, Japanese rice fish and Chinook salmon) were predicted with [AlphaFold 3 (AlphaFold Server) – confirm version]. Two crystal structures served as templates. The first was the 2:2:2 FGF2–FGFR1–heparin complex (PDB 1FQ9; FGFR1 D2–D3 residues 149–359 with two heparin oligosaccharides of 8 and 6 resolved saccharide units). The second was the 2:2:1 FGF1–FGFR2–heparin complex (PDB 1E0O; FGFR2 D2–D3 residues 149–360 with one heparin decasaccharide). Each ortholog was trimmed to the residues aligned to the crystallographically resolved FGF core of the template: 129 residues for the 1FQ9 systems and 127 for 1E0O, with the same span for both FGF2 copies. The disordered N-terminal segment (14–26 residues, depending on the ortholog) is unresolved in FGF1/FGF2 crystal structures. Retaining it led to unphysical entanglement with the receptor in initial builds.</w:t>
      </w:r>
    </w:p>
    <w:p>
      <w:pPr>
        <w:spacing w:after="293"/>
      </w:pPr>
      <w:r>
        <w:rPr>
          <w:rFonts w:ascii="Arial" w:hAnsi="Arial" w:cs="Arial"/>
          <w:sz w:val="29"/>
          <w:sz-cs w:val="29"/>
          <w:spacing w:val="0"/>
        </w:rPr>
        <w:t xml:space="preserve">Each trimmed core was superposed onto the crystallographic FGF chains using core Cα atoms. N-terminal core residues deviating by more than 1.5 Å (Cα) from the crystal were rebuilt on the crystal backbone. Side chains of residues identical to the template and within 6 Å of FGFR or heparin were taken from the crystal structure. Any remaining side-chain clash (heavy atoms closer than 1.8 Å) or ring penetration was removed by a χ-angle rotamer scan. FGFR and heparin coordinates and topology were identical for all orthologs within each template. Heparin consisted of alternating 2-O-sulfo-α-L-iduronic acid and N,6-O-disulfo-α-D-glucosamine residues. Systems were built with psfgen (VMD [2.0]) using the CHARMM36m protein</w:t>
      </w:r>
      <w:r>
        <w:rPr>
          <w:rFonts w:ascii="Arial" w:hAnsi="Arial" w:cs="Arial"/>
          <w:sz w:val="24"/>
          <w:sz-cs w:val="24"/>
          <w:vertAlign w:val="superscript"/>
          <w:spacing w:val="0"/>
        </w:rPr>
        <w:t xml:space="preserve">[ref]</w:t>
      </w:r>
      <w:r>
        <w:rPr>
          <w:rFonts w:ascii="Arial" w:hAnsi="Arial" w:cs="Arial"/>
          <w:sz w:val="29"/>
          <w:sz-cs w:val="29"/>
          <w:spacing w:val="0"/>
        </w:rPr>
        <w:t xml:space="preserve"> and CHARMM36 carbohydrate</w:t>
      </w:r>
      <w:r>
        <w:rPr>
          <w:rFonts w:ascii="Arial" w:hAnsi="Arial" w:cs="Arial"/>
          <w:sz w:val="24"/>
          <w:sz-cs w:val="24"/>
          <w:vertAlign w:val="superscript"/>
          <w:spacing w:val="0"/>
        </w:rPr>
        <w:t xml:space="preserve">[ref]</w:t>
      </w:r>
      <w:r>
        <w:rPr>
          <w:rFonts w:ascii="Arial" w:hAnsi="Arial" w:cs="Arial"/>
          <w:sz w:val="29"/>
          <w:sz-cs w:val="29"/>
          <w:spacing w:val="0"/>
        </w:rPr>
        <w:t xml:space="preserve"> force fields. Each system was solvated with TIP3P water in a cubic box (124 Å for 1FQ9 and 129 Å for 1E0O systems; at least 10 Å between solute and box edge), neutralized, and brought to 0.15 M KCl. The resulting systems contained about 182,000 (1FQ9) and 205,000 (1E0O) atoms.</w:t>
      </w:r>
    </w:p>
    <w:p>
      <w:pPr>
        <w:spacing w:after="343"/>
      </w:pPr>
      <w:r>
        <w:rPr>
          <w:rFonts w:ascii="Arial" w:hAnsi="Arial" w:cs="Arial"/>
          <w:sz w:val="34"/>
          <w:sz-cs w:val="34"/>
          <w:b/>
          <w:spacing w:val="0"/>
        </w:rPr>
        <w:t xml:space="preserve">2.8 Molecular dynamics simulations</w:t>
      </w:r>
    </w:p>
    <w:p>
      <w:pPr>
        <w:spacing w:after="293"/>
      </w:pPr>
      <w:r>
        <w:rPr>
          <w:rFonts w:ascii="Arial" w:hAnsi="Arial" w:cs="Arial"/>
          <w:sz w:val="29"/>
          <w:sz-cs w:val="29"/>
          <w:spacing w:val="0"/>
        </w:rPr>
        <w:t xml:space="preserve">Simulations were run with NAMD 2.14 (CUDA)</w:t>
      </w:r>
      <w:r>
        <w:rPr>
          <w:rFonts w:ascii="Arial" w:hAnsi="Arial" w:cs="Arial"/>
          <w:sz w:val="24"/>
          <w:sz-cs w:val="24"/>
          <w:vertAlign w:val="superscript"/>
          <w:spacing w:val="0"/>
        </w:rPr>
        <w:t xml:space="preserve">[ref]</w:t>
      </w:r>
      <w:r>
        <w:rPr>
          <w:rFonts w:ascii="Arial" w:hAnsi="Arial" w:cs="Arial"/>
          <w:sz w:val="29"/>
          <w:sz-cs w:val="29"/>
          <w:spacing w:val="0"/>
        </w:rPr>
        <w:t xml:space="preserve"> under periodic boundary conditions, with particle-mesh Ewald electrostatics (1 Å grid spacing, order 6), a 12 Å nonbonded cutoff with force switching from 10 Å, and all bonds to hydrogen constrained (2 fs time step). Each system was energy-minimized for 10,000 steps. It was then equilibrated for 250 ps at 310 K with velocity reassignment, with harmonic positional restraints on protein backbone (1.0 kcal mol</w:t>
      </w:r>
      <w:r>
        <w:rPr>
          <w:rFonts w:ascii="Arial" w:hAnsi="Arial" w:cs="Arial"/>
          <w:sz w:val="24"/>
          <w:sz-cs w:val="24"/>
          <w:vertAlign w:val="superscript"/>
          <w:spacing w:val="0"/>
        </w:rPr>
        <w:t xml:space="preserve">−1</w:t>
      </w:r>
      <w:r>
        <w:rPr>
          <w:rFonts w:ascii="Arial" w:hAnsi="Arial" w:cs="Arial"/>
          <w:sz w:val="29"/>
          <w:sz-cs w:val="29"/>
          <w:spacing w:val="0"/>
        </w:rPr>
        <w:t xml:space="preserve"> Å</w:t>
      </w:r>
      <w:r>
        <w:rPr>
          <w:rFonts w:ascii="Arial" w:hAnsi="Arial" w:cs="Arial"/>
          <w:sz w:val="24"/>
          <w:sz-cs w:val="24"/>
          <w:vertAlign w:val="superscript"/>
          <w:spacing w:val="0"/>
        </w:rPr>
        <w:t xml:space="preserve">−2</w:t>
      </w:r>
      <w:r>
        <w:rPr>
          <w:rFonts w:ascii="Arial" w:hAnsi="Arial" w:cs="Arial"/>
          <w:sz w:val="29"/>
          <w:sz-cs w:val="29"/>
          <w:spacing w:val="0"/>
        </w:rPr>
        <w:t xml:space="preserve">) and side-chain (0.5) heavy atoms and on heparin ring (1.0) and exocyclic (0.5) heavy atoms, and with dihedral restraints that maintained the pyranose ring conformations. Unrestrained production simulations of 1 ns were run in the NPT ensemble at 310 K and 1 atm, with Langevin dynamics (damping 1 ps</w:t>
      </w:r>
      <w:r>
        <w:rPr>
          <w:rFonts w:ascii="Arial" w:hAnsi="Arial" w:cs="Arial"/>
          <w:sz w:val="24"/>
          <w:sz-cs w:val="24"/>
          <w:vertAlign w:val="superscript"/>
          <w:spacing w:val="0"/>
        </w:rPr>
        <w:t xml:space="preserve">−1</w:t>
      </w:r>
      <w:r>
        <w:rPr>
          <w:rFonts w:ascii="Arial" w:hAnsi="Arial" w:cs="Arial"/>
          <w:sz w:val="29"/>
          <w:sz-cs w:val="29"/>
          <w:spacing w:val="0"/>
        </w:rPr>
        <w:t xml:space="preserve">) and a Langevin piston (period 50 fs, decay 25 fs). Five independent replicates with different random seeds were simulated per ortholog and assembly. [n = 4 for 2:2:2 human, human FGF2-STAB and zebrafish and for 2:2:1 bovine FGF2-STAB; 2:2:1 zebrafish pending.] Frames were saved every 100 ps.</w:t>
      </w:r>
    </w:p>
    <w:p>
      <w:pPr>
        <w:spacing w:after="293"/>
      </w:pPr>
      <w:r>
        <w:rPr>
          <w:rFonts w:ascii="Arial" w:hAnsi="Arial" w:cs="Arial"/>
          <w:sz w:val="29"/>
          <w:sz-cs w:val="29"/>
          <w:spacing w:val="0"/>
        </w:rPr>
        <w:t xml:space="preserve">For human and goldfish FGF2, three replicates per assembly were extended by 50 ns from the end of the 1 ns production run (2:2:1: human replicates 1, 2 and 4 and goldfish replicates 1–3; 2:2:2: human replicates 1–3 and goldfish replicates 2, 3 and 5, chosen because restart files were available). The extensions used the same settings and ran as 50 consecutive 1 ns segments, each restarted from the coordinates, velocities and box of the previous segment.</w:t>
      </w:r>
    </w:p>
    <w:p>
      <w:pPr>
        <w:spacing w:after="343"/>
      </w:pPr>
      <w:r>
        <w:rPr>
          <w:rFonts w:ascii="Arial" w:hAnsi="Arial" w:cs="Arial"/>
          <w:sz w:val="34"/>
          <w:sz-cs w:val="34"/>
          <w:b/>
          <w:spacing w:val="0"/>
        </w:rPr>
        <w:t xml:space="preserve">2.9 Binding free energy calculations</w:t>
      </w:r>
    </w:p>
    <w:p>
      <w:pPr>
        <w:spacing w:after="293"/>
      </w:pPr>
      <w:r>
        <w:rPr>
          <w:rFonts w:ascii="Arial" w:hAnsi="Arial" w:cs="Arial"/>
          <w:sz w:val="29"/>
          <w:sz-cs w:val="29"/>
          <w:spacing w:val="0"/>
        </w:rPr>
        <w:t xml:space="preserve">Binding energies were calculated with MM/GBSA using MMPBSA.py (AmberTools 23)</w:t>
      </w:r>
      <w:r>
        <w:rPr>
          <w:rFonts w:ascii="Arial" w:hAnsi="Arial" w:cs="Arial"/>
          <w:sz w:val="24"/>
          <w:sz-cs w:val="24"/>
          <w:vertAlign w:val="superscript"/>
          <w:spacing w:val="0"/>
        </w:rPr>
        <w:t xml:space="preserve">[ref]</w:t>
      </w:r>
      <w:r>
        <w:rPr>
          <w:rFonts w:ascii="Arial" w:hAnsi="Arial" w:cs="Arial"/>
          <w:sz w:val="29"/>
          <w:sz-cs w:val="29"/>
          <w:spacing w:val="0"/>
        </w:rPr>
        <w:t xml:space="preserve">. CHARMM topologies were converted to Amber format with ParmEd (chamber). For each replicate, the 10 production frames were analyzed in the single-trajectory approach, with the generalized Born model of Onufriev, Bashford and Case (igb = 5), mbondi2 radii and 0.15 M salt. The nonpolar contribution was computed from the solvent-accessible surface area. Conformational entropy was not included, so values are suitable for relative comparison only. FGF2 was defined as the ligand and FGFR plus heparin as the receptor. Energies were computed for each FGF2–FGFR interface (one FGF2 against its paired FGFR and its heparin; in the 2:2:1 assembly the shared heparin was retained in both interfaces) and for the whole assembly (both FGF2 against both FGFR and all heparin). Receptor/ligand definitions were derived from each replicate’s own topology and checked by residue count before each calculation. Per-residue decomposition (idecomp = 2) was used to identify contributing residues and as a quality control: no residue in any system contributed more than +2.4 kcal/mol of van der Waals repulsion. Heparin–FGF2 contacts were counted with cpptraj as Lys/Arg side-chain nitrogen to heparin sulfate or carboxylate oxygen distances under 4 Å. Binding energies were compared across orthologs by one-way ANOVA with Tukey’s HSD test on the replicate means (SciPy [version]).</w:t>
      </w:r>
    </w:p>
    <w:p>
      <w:pPr>
        <w:spacing w:after="293"/>
      </w:pPr>
      <w:r>
        <w:rPr>
          <w:rFonts w:ascii="Arial" w:hAnsi="Arial" w:cs="Arial"/>
          <w:sz w:val="29"/>
          <w:sz-cs w:val="29"/>
          <w:spacing w:val="0"/>
        </w:rPr>
        <w:t xml:space="preserve">The extended simulations were analyzed according to a plan written and version-controlled before any extension data were examined. The analysis window was extension segments 11–50 (40 ns); the first 10 ns were treated as additional equilibration. MM/GBSA used the settings above on frames every 0.5 ns (80 frames per replicate), and within-replicate uncertainty was estimated from four 10 ns blocks. Heparin-site salt bridges were counted every 100 ps for the five canonical residues, and the FGFR–FGFR distance was taken between the Cα centres of mass of the two receptor chains. In the 2:2:1 assembly, a frame was classed as tightly heparin-bound if it had at least 14 salt bridges, a threshold fixed in advance. Goldfish and human were compared per assembly by Welch’s t-test on replicate means (n = 3 per group). The pre-specified test was whether the 2:2:1 whole-assembly binding energy of goldfish was lower than that of human at p &lt; 0.05. The following analyses were added afterwards and are reported as exploratory. (i) A two-way ANOVA (species × assembly, type III sums of squares; statsmodels [version]). (ii) FGF2–heparin and FGF2–FGFR energies, computed by removing FGFR or heparin, respectively, before MM/GBSA. (iii) Per-residue decomposition (idecomp = 1) of the whole-assembly energy on frames every 1 ns. (iv) Screened Coulomb (Debye–Hückel, ε = 80, 0.15 M) interaction energies of each FGF2 core with heparin and FGFR in the starting structures. A prediction for the final goldfish replicate was recorded in the repository before that replicate was analysed.</w:t>
      </w:r>
    </w:p>
    <w:p>
      <w:pPr>
        <w:spacing w:after="343"/>
      </w:pPr>
      <w:r>
        <w:rPr>
          <w:rFonts w:ascii="Arial" w:hAnsi="Arial" w:cs="Arial"/>
          <w:sz w:val="34"/>
          <w:sz-cs w:val="34"/>
          <w:b/>
          <w:spacing w:val="0"/>
        </w:rPr>
        <w:t xml:space="preserve">Code and data availability</w:t>
      </w:r>
    </w:p>
    <w:p>
      <w:pPr>
        <w:spacing w:after="293"/>
      </w:pPr>
      <w:r>
        <w:rPr>
          <w:rFonts w:ascii="Arial" w:hAnsi="Arial" w:cs="Arial"/>
          <w:sz w:val="29"/>
          <w:sz-cs w:val="29"/>
          <w:spacing w:val="0"/>
        </w:rPr>
        <w:t xml:space="preserve">Simulation inputs, analysis code and processed binding energies are available at https://github.com/azhwang/surf_for_turf [make public or archive on Zenodo before submission]. Trajectories are available from the authors on request.</w:t>
      </w:r>
    </w:p>
    <w:p>
      <w:pPr>
        <w:spacing w:after="365"/>
      </w:pPr>
      <w:r>
        <w:rPr>
          <w:rFonts w:ascii="Arial" w:hAnsi="Arial" w:cs="Arial"/>
          <w:sz w:val="44"/>
          <w:sz-cs w:val="44"/>
          <w:b/>
          <w:spacing w:val="0"/>
        </w:rPr>
        <w:t xml:space="preserve">6. Figure 4 legend (draft)</w:t>
      </w:r>
    </w:p>
    <w:p>
      <w:pPr>
        <w:spacing w:after="293"/>
      </w:pPr>
      <w:r>
        <w:rPr>
          <w:rFonts w:ascii="Arial" w:hAnsi="Arial" w:cs="Arial"/>
          <w:sz w:val="29"/>
          <w:sz-cs w:val="29"/>
          <w:b/>
          <w:spacing w:val="0"/>
        </w:rPr>
        <w:t xml:space="preserve">Fig. 4 | Molecular dynamics of FGF2–FGFR–heparin assemblies.</w:t>
      </w:r>
      <w:r>
        <w:rPr>
          <w:rFonts w:ascii="Arial" w:hAnsi="Arial" w:cs="Arial"/>
          <w:sz w:val="29"/>
          <w:sz-cs w:val="29"/>
          <w:spacing w:val="0"/>
        </w:rPr>
        <w:t xml:space="preserve"> </w:t>
      </w:r>
      <w:r>
        <w:rPr>
          <w:rFonts w:ascii="Arial" w:hAnsi="Arial" w:cs="Arial"/>
          <w:sz w:val="29"/>
          <w:sz-cs w:val="29"/>
          <w:b/>
          <w:spacing w:val="0"/>
        </w:rPr>
        <w:t xml:space="preserve">a</w:t>
      </w:r>
      <w:r>
        <w:rPr>
          <w:rFonts w:ascii="Arial" w:hAnsi="Arial" w:cs="Arial"/>
          <w:sz w:val="29"/>
          <w:sz-cs w:val="29"/>
          <w:spacing w:val="0"/>
        </w:rPr>
        <w:t xml:space="preserve">, Simulated assemblies: 2:2:2 FGF2–FGFR1–heparin (PDB 1FQ9) and 2:2:1 FGF2–FGFR2–heparin with one shared heparin chain (PDB 1E0O). </w:t>
      </w:r>
      <w:r>
        <w:rPr>
          <w:rFonts w:ascii="Arial" w:hAnsi="Arial" w:cs="Arial"/>
          <w:sz w:val="29"/>
          <w:sz-cs w:val="29"/>
          <w:b/>
          <w:spacing w:val="0"/>
        </w:rPr>
        <w:t xml:space="preserve">b</w:t>
      </w:r>
      <w:r>
        <w:rPr>
          <w:rFonts w:ascii="Arial" w:hAnsi="Arial" w:cs="Arial"/>
          <w:sz w:val="29"/>
          <w:sz-cs w:val="29"/>
          <w:spacing w:val="0"/>
        </w:rPr>
        <w:t xml:space="preserve">, MM/GBSA whole-assembly binding energies for seven FGF2 orthologs in both assemblies (mean ± SD; points are independent replicates; one-way ANOVA p = 0.92 and 0.21). </w:t>
      </w:r>
      <w:r>
        <w:rPr>
          <w:rFonts w:ascii="Arial" w:hAnsi="Arial" w:cs="Arial"/>
          <w:sz w:val="29"/>
          <w:sz-cs w:val="29"/>
          <w:b/>
          <w:spacing w:val="0"/>
        </w:rPr>
        <w:t xml:space="preserve">c</w:t>
      </w:r>
      <w:r>
        <w:rPr>
          <w:rFonts w:ascii="Arial" w:hAnsi="Arial" w:cs="Arial"/>
          <w:sz w:val="29"/>
          <w:sz-cs w:val="29"/>
          <w:spacing w:val="0"/>
        </w:rPr>
        <w:t xml:space="preserve">, Conservation of FGF2 positions contacting FGFR (28/40 identical across orthologs) and heparin (11/12 identical). </w:t>
      </w:r>
      <w:r>
        <w:rPr>
          <w:rFonts w:ascii="Arial" w:hAnsi="Arial" w:cs="Arial"/>
          <w:sz w:val="29"/>
          <w:sz-cs w:val="29"/>
          <w:b/>
          <w:spacing w:val="0"/>
        </w:rPr>
        <w:t xml:space="preserve">d</w:t>
      </w:r>
      <w:r>
        <w:rPr>
          <w:rFonts w:ascii="Arial" w:hAnsi="Arial" w:cs="Arial"/>
          <w:sz w:val="29"/>
          <w:sz-cs w:val="29"/>
          <w:spacing w:val="0"/>
        </w:rPr>
        <w:t xml:space="preserve">, Goldfish − human whole-assembly binding energy in the 50 ns extensions for each assembly (mean and 95% CI; points are replicates; species × assembly interaction p = 0.98). </w:t>
      </w:r>
      <w:r>
        <w:rPr>
          <w:rFonts w:ascii="Arial" w:hAnsi="Arial" w:cs="Arial"/>
          <w:sz w:val="29"/>
          <w:sz-cs w:val="29"/>
          <w:b/>
          <w:spacing w:val="0"/>
        </w:rPr>
        <w:t xml:space="preserve">e</w:t>
      </w:r>
      <w:r>
        <w:rPr>
          <w:rFonts w:ascii="Arial" w:hAnsi="Arial" w:cs="Arial"/>
          <w:sz w:val="29"/>
          <w:sz-cs w:val="29"/>
          <w:spacing w:val="0"/>
        </w:rPr>
        <w:t xml:space="preserve">, Heparin-site salt bridges and FGFR–FGFR distance over time in the 2:2:1 extensions (1 ns running mean; shading marks the excluded first 10 ns). </w:t>
      </w:r>
      <w:r>
        <w:rPr>
          <w:rFonts w:ascii="Arial" w:hAnsi="Arial" w:cs="Arial"/>
          <w:sz w:val="29"/>
          <w:sz-cs w:val="29"/>
          <w:b/>
          <w:spacing w:val="0"/>
        </w:rPr>
        <w:t xml:space="preserve">f</w:t>
      </w:r>
      <w:r>
        <w:rPr>
          <w:rFonts w:ascii="Arial" w:hAnsi="Arial" w:cs="Arial"/>
          <w:sz w:val="29"/>
          <w:sz-cs w:val="29"/>
          <w:spacing w:val="0"/>
        </w:rPr>
        <w:t xml:space="preserve">, Arg90 in the 2:2:1 assembly: per-residue contribution and heparin contacts for each replicate and FGF2 copy, with a representative structure of goldfish Arg90 bound to the shared heparin; 2:2:2 values shown for comparison.</w:t>
      </w:r>
    </w:p>
    <w:p>
      <w:pPr>
        <w:spacing w:after="293"/>
      </w:pPr>
      <w:r>
        <w:rPr>
          <w:rFonts w:ascii="Arial" w:hAnsi="Arial" w:cs="Arial"/>
          <w:sz w:val="29"/>
          <w:sz-cs w:val="29"/>
          <w:b/>
          <w:spacing w:val="0"/>
        </w:rPr>
        <w:t xml:space="preserve">Supplementary items:</w:t>
      </w:r>
      <w:r>
        <w:rPr>
          <w:rFonts w:ascii="Arial" w:hAnsi="Arial" w:cs="Arial"/>
          <w:sz w:val="29"/>
          <w:sz-cs w:val="29"/>
          <w:spacing w:val="0"/>
        </w:rPr>
        <w:t xml:space="preserve"> Supp. Fig. 6, per-interface binding energies for all orthologs. Supp. Fig. 7, build quality control (per-residue van der Waals contributions; ring-penetration check). Supp. Fig. 8, heparin–FGF2 salt-bridge counts for each replicate. Supp. Fig. 9, 2:2:2 extension time series. Supp. Table, all replicate values (1 ns and 50 ns). Supp. Note, the pre-specified extension analysis plan and the recorded Arg90 prediction.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CocoaOOXMLWriter/2299.7</generator>
</meta>
</file>