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E5128"/>
          <w:sz w:val="40"/>
        </w:rPr>
        <w:t>HealthSathi: A Data-Driven Framework for Personalized Wellness Using Indian Knowledge Systems and Ayurvedic Lifestyle Principles</w:t>
      </w:r>
    </w:p>
    <w:p>
      <w:pPr>
        <w:spacing w:after="120"/>
      </w:pPr>
      <w:r>
        <w:rPr>
          <w:b/>
        </w:rPr>
        <w:t>Author:</w:t>
      </w:r>
      <w:r>
        <w:t xml:space="preserve"> HealthSathi Development &amp; Research Group</w:t>
      </w:r>
    </w:p>
    <w:p>
      <w:pPr>
        <w:spacing w:after="120"/>
      </w:pPr>
      <w:r>
        <w:rPr>
          <w:b/>
        </w:rPr>
        <w:t>Affiliation:</w:t>
      </w:r>
      <w:r>
        <w:t xml:space="preserve"> Indian Knowledge Systems (IKS) &amp; Data Science Collaborative Laboratory</w:t>
      </w:r>
    </w:p>
    <w:p>
      <w:pPr>
        <w:spacing w:after="120"/>
      </w:pPr>
      <w:r>
        <w:rPr>
          <w:b/>
        </w:rPr>
        <w:t>Document Nature:</w:t>
      </w:r>
      <w:r>
        <w:t xml:space="preserve"> Academic Research Blueprint &amp; Prototype Evaluation</w:t>
      </w:r>
    </w:p>
    <w:p>
      <w:pPr>
        <w:spacing w:after="120"/>
      </w:pPr>
      <w:r>
        <w:rPr>
          <w:b/>
        </w:rPr>
        <w:t>Date:</w:t>
      </w:r>
      <w:r>
        <w:t xml:space="preserve"> September 2026</w:t>
      </w:r>
    </w:p>
    <w:p>
      <w:pPr>
        <w:spacing w:before="120" w:after="120"/>
      </w:pPr>
    </w:p>
    <w:p>
      <w:pPr>
        <w:spacing w:before="280" w:after="80"/>
      </w:pPr>
      <w:r>
        <w:rPr>
          <w:rFonts w:ascii="Calibri" w:hAnsi="Calibri"/>
          <w:b/>
          <w:color w:val="1E5128"/>
          <w:sz w:val="28"/>
        </w:rPr>
        <w:t>Abstract</w:t>
      </w:r>
    </w:p>
    <w:p>
      <w:pPr>
        <w:spacing w:after="120"/>
      </w:pPr>
      <w:r>
        <w:t xml:space="preserve">Modern sedentary living, irregular dietary schedules, prolonged screen exposure, and chronic psycho-emotional tension have fueled an unprecedented global surge in non-communicable lifestyle disorders. While contemporary mobile health (mHealth) applications quantify biological telemetry such as daily steps and caloric expenditure, they largely lack structured, culturally rooted preventative frameworks. This paper introduces </w:t>
      </w:r>
      <w:r>
        <w:rPr>
          <w:b/>
        </w:rPr>
        <w:t>HealthSathi</w:t>
      </w:r>
      <w:r>
        <w:t xml:space="preserve">, an explainable, data-driven lifestyle analytics system that operationalizes foundational Indian Knowledge Systems (IKS)—specifically classical Ayurvedic principles of </w:t>
      </w:r>
      <w:r>
        <w:rPr>
          <w:i/>
        </w:rPr>
        <w:t>Dinacharya</w:t>
      </w:r>
      <w:r>
        <w:t xml:space="preserve"> (circadian daily regimen), </w:t>
      </w:r>
      <w:r>
        <w:rPr>
          <w:i/>
        </w:rPr>
        <w:t>Nidra</w:t>
      </w:r>
      <w:r>
        <w:t xml:space="preserve"> (sleep physiology), </w:t>
      </w:r>
      <w:r>
        <w:rPr>
          <w:i/>
        </w:rPr>
        <w:t>Ahara Vidhi</w:t>
      </w:r>
      <w:r>
        <w:t xml:space="preserve"> (nutritional discipline), and </w:t>
      </w:r>
      <w:r>
        <w:rPr>
          <w:i/>
        </w:rPr>
        <w:t>Sadvritta</w:t>
      </w:r>
      <w:r>
        <w:t xml:space="preserve"> (mental equilibrium)—into a modern computational pipeline. HealthSathi processes 24 primary lifestyle indicators through a deterministic mathematical scoring engine to compute a 0–100 composite </w:t>
      </w:r>
      <w:r>
        <w:rPr>
          <w:b/>
        </w:rPr>
        <w:t>Lifestyle Wellness Score</w:t>
      </w:r>
      <w:r>
        <w:t xml:space="preserve"> across six core lifestyle dimensions. Unlike black-box generative AI models prone to medical hallucination, HealthSathi implements a transparent rule-based recommendation engine mapped directly to primary classical texts (</w:t>
      </w:r>
      <w:r>
        <w:rPr>
          <w:i/>
        </w:rPr>
        <w:t>Charaka Samhita</w:t>
      </w:r>
      <w:r>
        <w:t xml:space="preserve">, </w:t>
      </w:r>
      <w:r>
        <w:rPr>
          <w:i/>
        </w:rPr>
        <w:t>Astanga Hridaya</w:t>
      </w:r>
      <w:r>
        <w:t xml:space="preserve">, </w:t>
      </w:r>
      <w:r>
        <w:rPr>
          <w:i/>
        </w:rPr>
        <w:t>Bhavaprakasha</w:t>
      </w:r>
      <w:r>
        <w:t>) and verified institutional portals (Ministry of Ayush, World Health Organization). The system dynamically synthesizes personalized diurnal schedules and produces verifiable PDF wellness dossiers. Evaluated on a simulated evaluation cohort ($N=650$), the composite score demonstrated strong empirical sensitivity, correlating robustly with reported psychological tension ($r = -0.788$), physical activity ($r = 0.724$), screen exposure ($r = -0.691$), and sleep duration ($r = 0.676$). Unsupervised K-Means clustering successfully delineated four distinct behavioral phenotypes. HealthSathi illustrates how traditional indigenous wisdom can be codified into an explainable, safe, and actionable digital health assistant without venturing into unauthorized medical diagnosis or prescription.</w:t>
      </w:r>
    </w:p>
    <w:p>
      <w:pPr>
        <w:spacing w:after="120"/>
      </w:pPr>
      <w:r>
        <w:rPr>
          <w:b/>
        </w:rPr>
        <w:t>Keywords:</w:t>
      </w:r>
      <w:r>
        <w:t xml:space="preserve"> Indian Knowledge Systems (IKS), Ayurveda, Dinacharya, Lifestyle Analytics, Explainable AI, Wellness Informatics, Circadian Health.</w:t>
      </w:r>
    </w:p>
    <w:p>
      <w:pPr>
        <w:spacing w:before="120" w:after="120"/>
      </w:pPr>
    </w:p>
    <w:p>
      <w:pPr>
        <w:spacing w:before="280" w:after="80"/>
      </w:pPr>
      <w:r>
        <w:rPr>
          <w:rFonts w:ascii="Calibri" w:hAnsi="Calibri"/>
          <w:b/>
          <w:color w:val="1E5128"/>
          <w:sz w:val="28"/>
        </w:rPr>
        <w:t>1. Introduction</w:t>
      </w:r>
    </w:p>
    <w:p>
      <w:pPr>
        <w:spacing w:after="120"/>
      </w:pPr>
      <w:r>
        <w:t>The twenty-first century has witnessed a profound transition in the global disease burden. The World Health Organization (WHO) reports that non-communicable diseases (NCDs)—including cardiovascular conditions, metabolic syndrome, type-2 diabetes, and chronic mood disorders—are responsible for approximately 74% of all annual deaths globally. Epidemiological investigations consistently establish that the vast majority of these conditions originate from modifiable lifestyle factors: disrupted circadian sleep-wake cycles, prolonged sedentary desk confinement, ultra-processed dietary consumption, and unmanaged psychosocial stress.</w:t>
      </w:r>
    </w:p>
    <w:p>
      <w:pPr>
        <w:spacing w:after="120"/>
      </w:pPr>
      <w:r>
        <w:t>In response, the digital health market has proliferated with wearable fitness trackers, smartwatch sensors, and mobile applications. While these technologies excel at quantitative tracking (e.g., counting steps, measuring raw heart rate, or estimating calorie expenditure), they frequently exhibit notable limitations:</w:t>
      </w:r>
    </w:p>
    <w:p>
      <w:pPr>
        <w:pStyle w:val="ListNumber"/>
      </w:pPr>
      <w:r>
        <w:rPr>
          <w:b/>
        </w:rPr>
        <w:t>Data Fragmentation Without Context:</w:t>
      </w:r>
      <w:r>
        <w:t xml:space="preserve"> Users receive raw numeric telemetry without an overarching, holistic paradigm that explains how disparate habits (such as eating dinner at 11:00 PM and waking up at 5:00 AM) biochemically and chronobiologically interact.</w:t>
      </w:r>
    </w:p>
    <w:p>
      <w:pPr>
        <w:pStyle w:val="ListNumber"/>
      </w:pPr>
      <w:r>
        <w:rPr>
          <w:b/>
        </w:rPr>
        <w:t>Generic, Reductionist Interventions:</w:t>
      </w:r>
      <w:r>
        <w:t xml:space="preserve"> Standard notifications typically issue universal directives (e.g., "Take 10,000 steps") that ignore constitutional individuality, diurnal bio-rhythms, and digestive chronobiology.</w:t>
      </w:r>
    </w:p>
    <w:p>
      <w:pPr>
        <w:pStyle w:val="ListNumber"/>
      </w:pPr>
      <w:r>
        <w:rPr>
          <w:b/>
        </w:rPr>
        <w:t>Generative AI Hallucinations:</w:t>
      </w:r>
      <w:r>
        <w:t xml:space="preserve"> Recent attempts to integrate Large Language Models (LLMs) into health apps frequently generate unverified medical claims, invent non-existent clinical remedies, or conflate wellness advice with medical prescriptions.</w:t>
      </w:r>
    </w:p>
    <w:p>
      <w:pPr>
        <w:spacing w:after="120"/>
      </w:pPr>
      <w:r>
        <w:t xml:space="preserve">Parallel to modern chronobiology and lifestyle medicine, the </w:t>
      </w:r>
      <w:r>
        <w:rPr>
          <w:b/>
        </w:rPr>
        <w:t>Indian Knowledge System (IKS)</w:t>
      </w:r>
      <w:r>
        <w:t xml:space="preserve"> possesses an exhaustive, millennia-old codification of preventive medicine embodied in </w:t>
      </w:r>
      <w:r>
        <w:rPr>
          <w:b/>
        </w:rPr>
        <w:t>Ayurveda</w:t>
      </w:r>
      <w:r>
        <w:t xml:space="preserve">. Ayurvedic treatises such as the </w:t>
      </w:r>
      <w:r>
        <w:rPr>
          <w:i/>
        </w:rPr>
        <w:t>Charaka Samhita</w:t>
      </w:r>
      <w:r>
        <w:t xml:space="preserve"> and </w:t>
      </w:r>
      <w:r>
        <w:rPr>
          <w:i/>
        </w:rPr>
        <w:t>Astanga Hridaya</w:t>
      </w:r>
      <w:r>
        <w:t xml:space="preserve"> conceptualize health not merely as the absence of clinical pathology, but as </w:t>
      </w:r>
      <w:r>
        <w:rPr>
          <w:i/>
        </w:rPr>
        <w:t>Svasthya</w:t>
      </w:r>
      <w:r>
        <w:t>—a dynamic state of equilibrium encompassing bio-energetic balance (</w:t>
      </w:r>
      <w:r>
        <w:rPr>
          <w:i/>
        </w:rPr>
        <w:t>Dosha Samya</w:t>
      </w:r>
      <w:r>
        <w:t>), optimized digestive and metabolic fire (</w:t>
      </w:r>
      <w:r>
        <w:rPr>
          <w:i/>
        </w:rPr>
        <w:t>Agni</w:t>
      </w:r>
      <w:r>
        <w:t>), tissue vitality (</w:t>
      </w:r>
      <w:r>
        <w:rPr>
          <w:i/>
        </w:rPr>
        <w:t>Dhatu Prasada</w:t>
      </w:r>
      <w:r>
        <w:t>), effective excretion (</w:t>
      </w:r>
      <w:r>
        <w:rPr>
          <w:i/>
        </w:rPr>
        <w:t>Mala Kriya</w:t>
      </w:r>
      <w:r>
        <w:t>), and serene clarity of soul, senses, and mind (</w:t>
      </w:r>
      <w:r>
        <w:rPr>
          <w:i/>
        </w:rPr>
        <w:t>Prasanna Atma Indriya Manah</w:t>
      </w:r>
      <w:r>
        <w:t xml:space="preserve">). Central to this system are proactive protocols: </w:t>
      </w:r>
      <w:r>
        <w:rPr>
          <w:i/>
        </w:rPr>
        <w:t>Dinacharya</w:t>
      </w:r>
      <w:r>
        <w:t xml:space="preserve"> (daily routine synchronized with solar cycles), </w:t>
      </w:r>
      <w:r>
        <w:rPr>
          <w:i/>
        </w:rPr>
        <w:t>Ritucharya</w:t>
      </w:r>
      <w:r>
        <w:t xml:space="preserve"> (seasonal adaptation), </w:t>
      </w:r>
      <w:r>
        <w:rPr>
          <w:i/>
        </w:rPr>
        <w:t>Ahara Vidhi</w:t>
      </w:r>
      <w:r>
        <w:t xml:space="preserve"> (mindful food intake rules), and </w:t>
      </w:r>
      <w:r>
        <w:rPr>
          <w:i/>
        </w:rPr>
        <w:t>Trayopasthambha</w:t>
      </w:r>
      <w:r>
        <w:t xml:space="preserve"> (the three supporting pillars of life: food, sleep, and disciplined energy conservation).</w:t>
      </w:r>
    </w:p>
    <w:p>
      <w:pPr>
        <w:spacing w:after="120"/>
      </w:pPr>
      <w:r>
        <w:rPr>
          <w:b/>
        </w:rPr>
        <w:t>HealthSathi</w:t>
      </w:r>
      <w:r>
        <w:t xml:space="preserve"> bridges this fundamental divide. By uniting rigorous data science preprocessing, multi-attribute scoring mathematics, and a transparent, curated IKS knowledge base, HealthSathi demonstrates how ancient preventive wisdom can be digitally preserved, structurally queried, and translated into personalized, actionable lifestyle routines.</w:t>
      </w:r>
    </w:p>
    <w:p>
      <w:pPr>
        <w:spacing w:before="120" w:after="120"/>
      </w:pPr>
    </w:p>
    <w:p>
      <w:pPr>
        <w:spacing w:before="280" w:after="80"/>
      </w:pPr>
      <w:r>
        <w:rPr>
          <w:rFonts w:ascii="Calibri" w:hAnsi="Calibri"/>
          <w:b/>
          <w:color w:val="1E5128"/>
          <w:sz w:val="28"/>
        </w:rPr>
        <w:t>2. Problem Statement</w:t>
      </w:r>
    </w:p>
    <w:p>
      <w:pPr>
        <w:spacing w:after="120"/>
      </w:pPr>
      <w:r>
        <w:t>Despite the proliferation of digital lifestyle trackers, existing platforms suffer from a critical pedagogical and architectural gap:</w:t>
      </w:r>
    </w:p>
    <w:p>
      <w:pPr>
        <w:pStyle w:val="ListBullet"/>
      </w:pPr>
      <w:r>
        <w:rPr>
          <w:b/>
        </w:rPr>
        <w:t>Absence of Structured IKS Codification:</w:t>
      </w:r>
      <w:r>
        <w:t xml:space="preserve"> Classical Indian health wisdom remains largely trapped in ancient Sanskrit literature or fragmented across secondary commercial blogs that lack source transparency, dose safety cautions, and academic rigor.</w:t>
      </w:r>
    </w:p>
    <w:p>
      <w:pPr>
        <w:pStyle w:val="ListBullet"/>
      </w:pPr>
      <w:r>
        <w:rPr>
          <w:b/>
        </w:rPr>
        <w:t>Opacity of AI Recommendations:</w:t>
      </w:r>
      <w:r>
        <w:t xml:space="preserve"> Black-box machine learning and generative chatbots fail to provide verifiable provenance for their lifestyle suggestions, creating significant safety risks in wellness contexts.</w:t>
      </w:r>
    </w:p>
    <w:p>
      <w:pPr>
        <w:pStyle w:val="ListBullet"/>
      </w:pPr>
      <w:r>
        <w:rPr>
          <w:b/>
        </w:rPr>
        <w:t>The "Data-Rich, Insight-Poor" Dilemma:</w:t>
      </w:r>
      <w:r>
        <w:t xml:space="preserve"> Everyday users are overwhelmed by graphs of heart rates and step counts without receiving structured daily operational blueprints (e.g., precise times to eat, exercise, pause screens, and retire) grounded in circadian science.</w:t>
      </w:r>
    </w:p>
    <w:p>
      <w:pPr>
        <w:pStyle w:val="ListBullet"/>
      </w:pPr>
      <w:r>
        <w:rPr>
          <w:b/>
        </w:rPr>
        <w:t>Boundary Blurring in Digital Health:</w:t>
      </w:r>
      <w:r>
        <w:t xml:space="preserve"> Many wellness applications blur the line between educational lifestyle counseling and clinical medical diagnosis, creating regulatory liability and consumer risk.</w:t>
      </w:r>
    </w:p>
    <w:p>
      <w:pPr>
        <w:spacing w:after="120"/>
      </w:pPr>
      <w:r>
        <w:t>There is a compelling scientific need for an open, source-transparent, non-diagnostic digital framework that formalizes Ayurvedic lifestyle principles into explainable algorithms, visualizes multidimensional lifestyle balance, and delivers personalized daily routines anchored in verified institutional knowledge.</w:t>
      </w:r>
    </w:p>
    <w:p>
      <w:pPr>
        <w:spacing w:before="120" w:after="120"/>
      </w:pPr>
    </w:p>
    <w:p>
      <w:pPr>
        <w:spacing w:before="280" w:after="80"/>
      </w:pPr>
      <w:r>
        <w:rPr>
          <w:rFonts w:ascii="Calibri" w:hAnsi="Calibri"/>
          <w:b/>
          <w:color w:val="1E5128"/>
          <w:sz w:val="28"/>
        </w:rPr>
        <w:t>3. Research &amp; Engineering Objectives</w:t>
      </w:r>
    </w:p>
    <w:p>
      <w:pPr>
        <w:spacing w:after="120"/>
      </w:pPr>
      <w:r>
        <w:t>The development of HealthSathi was driven by six concrete objectives:</w:t>
      </w:r>
    </w:p>
    <w:p>
      <w:pPr>
        <w:pStyle w:val="ListNumber"/>
      </w:pPr>
      <w:r>
        <w:rPr>
          <w:b/>
        </w:rPr>
        <w:t>Architect a Four-Layer System:</w:t>
      </w:r>
      <w:r>
        <w:t xml:space="preserve"> Develop an integrated pipeline connecting user lifestyle telemetry, mathematical feature engineering, an authentic IKS knowledge base, and interactive visual outputs.</w:t>
      </w:r>
    </w:p>
    <w:p>
      <w:pPr>
        <w:pStyle w:val="ListNumber"/>
      </w:pPr>
      <w:r>
        <w:rPr>
          <w:b/>
        </w:rPr>
        <w:t>Formulate a 6-Dimension Wellness Scoring Engine:</w:t>
      </w:r>
      <w:r>
        <w:t xml:space="preserve"> Design mathematical models to derive objective sub-scores (0–100) for Sleep, Physical Activity, Stress Management, Hydration, Routine Consistency, and Nutrition, synthesized into a composite </w:t>
      </w:r>
      <w:r>
        <w:rPr>
          <w:b/>
        </w:rPr>
        <w:t>Lifestyle Wellness Score</w:t>
      </w:r>
      <w:r>
        <w:t>.</w:t>
      </w:r>
    </w:p>
    <w:p>
      <w:pPr>
        <w:pStyle w:val="ListNumber"/>
      </w:pPr>
      <w:r>
        <w:rPr>
          <w:b/>
        </w:rPr>
        <w:t>Codify an Explainable IKS Rule Base:</w:t>
      </w:r>
      <w:r>
        <w:t xml:space="preserve"> Curate a deterministic repository of classical Ayurvedic principles with explicit "Why am I getting this recommendation?" triggers, classical Sanskrit concepts, and institutional references.</w:t>
      </w:r>
    </w:p>
    <w:p>
      <w:pPr>
        <w:pStyle w:val="ListNumber"/>
      </w:pPr>
      <w:r>
        <w:rPr>
          <w:b/>
        </w:rPr>
        <w:t>Implement Dynamic Chronobiological Routine Generation:</w:t>
      </w:r>
      <w:r>
        <w:t xml:space="preserve"> Create an algorithm that synthesizes a customized 24-hour </w:t>
      </w:r>
      <w:r>
        <w:rPr>
          <w:i/>
        </w:rPr>
        <w:t>Dinacharya</w:t>
      </w:r>
      <w:r>
        <w:t xml:space="preserve"> schedule tailored to the user's specific wake-up and sleep boundaries, mapped to the diurnal dosha cycles (Kapha, Pitta, Vata).</w:t>
      </w:r>
    </w:p>
    <w:p>
      <w:pPr>
        <w:pStyle w:val="ListNumber"/>
      </w:pPr>
      <w:r>
        <w:rPr>
          <w:b/>
        </w:rPr>
        <w:t>Develop an Educational Botanical Explorer:</w:t>
      </w:r>
      <w:r>
        <w:t xml:space="preserve"> Build a searchable repository of traditional medicinal plants featuring scientific binomials, classical attributes (</w:t>
      </w:r>
      <w:r>
        <w:rPr>
          <w:i/>
        </w:rPr>
        <w:t>Rasa, Virya, Vipaka</w:t>
      </w:r>
      <w:r>
        <w:t>), modern pharmacological research citations, and strict safety notes.</w:t>
      </w:r>
    </w:p>
    <w:p>
      <w:pPr>
        <w:pStyle w:val="ListNumber"/>
      </w:pPr>
      <w:r>
        <w:rPr>
          <w:b/>
        </w:rPr>
        <w:t>Empirically Evaluate on a Synthetic Cohort:</w:t>
      </w:r>
      <w:r>
        <w:t xml:space="preserve"> Benchmark the sensitivity, correlation structure, and clustering behavior of the system across a simulated cohort of 650 diverse lifestyle profiles.</w:t>
      </w:r>
    </w:p>
    <w:p>
      <w:pPr>
        <w:spacing w:before="120" w:after="120"/>
      </w:pPr>
    </w:p>
    <w:p>
      <w:pPr>
        <w:spacing w:before="280" w:after="80"/>
      </w:pPr>
      <w:r>
        <w:rPr>
          <w:rFonts w:ascii="Calibri" w:hAnsi="Calibri"/>
          <w:b/>
          <w:color w:val="1E5128"/>
          <w:sz w:val="28"/>
        </w:rPr>
        <w:t>4. Literature Review &amp; Related Work</w:t>
      </w:r>
    </w:p>
    <w:p>
      <w:pPr>
        <w:spacing w:after="120"/>
      </w:pPr>
      <w:r>
        <w:t>To establish the scholarly foundation of HealthSathi, Table 3 compares related domains, while the following subsections analyze key contributions across the literature.</w:t>
      </w:r>
    </w:p>
    <w:p>
      <w:pPr>
        <w:spacing w:before="200" w:after="40"/>
      </w:pPr>
      <w:r>
        <w:rPr>
          <w:rFonts w:ascii="Calibri" w:hAnsi="Calibri"/>
          <w:b/>
          <w:color w:val="2A9D8F"/>
          <w:sz w:val="24"/>
        </w:rPr>
        <w:t>4.1 Chronobiology and Circadian Medicine</w:t>
      </w:r>
    </w:p>
    <w:p>
      <w:pPr>
        <w:spacing w:after="120"/>
      </w:pPr>
      <w:r>
        <w:t xml:space="preserve">Modern circadian biology has validated that almost every mammalian physiological process—from insulin sensitivity and gastric enzyme secretion to blood pressure and cognitive agility—is regulated by autonomous molecular clocks coordinated by the suprachiasmatic nucleus (SCN). Panda (2016) demonstrated that circadian disruption, late nocturnal light exposure, and erratic eating windows correlate directly with metabolic dysregulation and chronic inflammatory cascades. This modern paradigm directly aligns with the Ayurvedic doctrine of </w:t>
      </w:r>
      <w:r>
        <w:rPr>
          <w:i/>
        </w:rPr>
        <w:t>Dinacharya</w:t>
      </w:r>
      <w:r>
        <w:t xml:space="preserve"> detailed in </w:t>
      </w:r>
      <w:r>
        <w:rPr>
          <w:i/>
        </w:rPr>
        <w:t>Astanga Hridaya</w:t>
      </w:r>
      <w:r>
        <w:t xml:space="preserve"> (Sutrasthana Chapter 2), which prescribes specific behavioral regimens across the four-hour diurnal cycles of </w:t>
      </w:r>
      <w:r>
        <w:rPr>
          <w:i/>
        </w:rPr>
        <w:t>Kapha</w:t>
      </w:r>
      <w:r>
        <w:t xml:space="preserve">, </w:t>
      </w:r>
      <w:r>
        <w:rPr>
          <w:i/>
        </w:rPr>
        <w:t>Pitta</w:t>
      </w:r>
      <w:r>
        <w:t xml:space="preserve">, and </w:t>
      </w:r>
      <w:r>
        <w:rPr>
          <w:i/>
        </w:rPr>
        <w:t>Vata</w:t>
      </w:r>
      <w:r>
        <w:t>.</w:t>
      </w:r>
    </w:p>
    <w:p>
      <w:pPr>
        <w:spacing w:before="200" w:after="40"/>
      </w:pPr>
      <w:r>
        <w:rPr>
          <w:rFonts w:ascii="Calibri" w:hAnsi="Calibri"/>
          <w:b/>
          <w:color w:val="2A9D8F"/>
          <w:sz w:val="24"/>
        </w:rPr>
        <w:t>4.2 Ayurvedic Codification and Digital Health</w:t>
      </w:r>
    </w:p>
    <w:p>
      <w:pPr>
        <w:spacing w:after="120"/>
      </w:pPr>
      <w:r>
        <w:t>Patwardhan et al. (2015) pioneered the concept of integrative medicine and "Ayurgenomics," highlighting that traditional Ayurvedic phenotypic classification (</w:t>
      </w:r>
      <w:r>
        <w:rPr>
          <w:i/>
        </w:rPr>
        <w:t>Prakriti</w:t>
      </w:r>
      <w:r>
        <w:t>) correlates with genomic expression and drug metabolism profiles. However, existing digital attempts to translate Ayurveda have predominantly focused on static dosha questionnaires or commercial herbal e-commerce portals. As identified by the Ministry of Ayush through its Ayush Research Portal (2024), there remains an acute lack of interactive digital systems that synthesize classical text principles into real-time lifestyle management tools.</w:t>
      </w:r>
    </w:p>
    <w:p>
      <w:pPr>
        <w:spacing w:before="200" w:after="40"/>
      </w:pPr>
      <w:r>
        <w:rPr>
          <w:rFonts w:ascii="Calibri" w:hAnsi="Calibri"/>
          <w:b/>
          <w:color w:val="2A9D8F"/>
          <w:sz w:val="24"/>
        </w:rPr>
        <w:t>4.3 Sleep as a Core Health Pillar</w:t>
      </w:r>
    </w:p>
    <w:p>
      <w:pPr>
        <w:spacing w:after="120"/>
      </w:pPr>
      <w:r>
        <w:t xml:space="preserve">Charaka Samhita (Sutrasthana Chapter 21, Verses 35–38) establishes </w:t>
      </w:r>
      <w:r>
        <w:rPr>
          <w:i/>
        </w:rPr>
        <w:t>Nidra</w:t>
      </w:r>
      <w:r>
        <w:t xml:space="preserve"> (sleep) alongside </w:t>
      </w:r>
      <w:r>
        <w:rPr>
          <w:i/>
        </w:rPr>
        <w:t>Ahara</w:t>
      </w:r>
      <w:r>
        <w:t xml:space="preserve"> (nourishment) and </w:t>
      </w:r>
      <w:r>
        <w:rPr>
          <w:i/>
        </w:rPr>
        <w:t>Brahmacharya</w:t>
      </w:r>
      <w:r>
        <w:t xml:space="preserve"> (restraint) as </w:t>
      </w:r>
      <w:r>
        <w:rPr>
          <w:i/>
        </w:rPr>
        <w:t>Trayopasthambha</w:t>
      </w:r>
      <w:r>
        <w:t>—the three immutable pillars upholding human vitality (</w:t>
      </w:r>
      <w:r>
        <w:rPr>
          <w:i/>
        </w:rPr>
        <w:t>Ojas</w:t>
      </w:r>
      <w:r>
        <w:t xml:space="preserve">). Contemporary sleep research (Walker, 2017) corroborates that chronic sleep deprivation (&lt; 6.5 hours) impairs neuro-immunological homeostasis and accelerates metabolic decay. HealthSathi formalizes these dual perspectives by penalizing both sleep deficits and late-night bedtimes (disrupting the </w:t>
      </w:r>
      <w:r>
        <w:rPr>
          <w:i/>
        </w:rPr>
        <w:t>Pitta</w:t>
      </w:r>
      <w:r>
        <w:t xml:space="preserve"> metabolic detoxification cycle between 10:00 PM and 2:00 AM).</w:t>
      </w:r>
    </w:p>
    <w:p>
      <w:pPr>
        <w:spacing w:before="200" w:after="40"/>
      </w:pPr>
      <w:r>
        <w:rPr>
          <w:rFonts w:ascii="Calibri" w:hAnsi="Calibri"/>
          <w:b/>
          <w:color w:val="2A9D8F"/>
          <w:sz w:val="24"/>
        </w:rPr>
        <w:t>4.4 Herbal Adaptogens and Evidence-Based Phytotherapy</w:t>
      </w:r>
    </w:p>
    <w:p>
      <w:pPr>
        <w:spacing w:after="120"/>
      </w:pPr>
      <w:r>
        <w:t>Numerous peer-reviewed clinical investigations substantiate the traditional properties of classical Ayurvedic herbs:</w:t>
      </w:r>
    </w:p>
    <w:p>
      <w:pPr>
        <w:pStyle w:val="ListBullet"/>
      </w:pPr>
      <w:r>
        <w:rPr>
          <w:b/>
        </w:rPr>
        <w:t>Ashwagandha (*Withania somnifera*):</w:t>
      </w:r>
      <w:r>
        <w:t xml:space="preserve"> Chandrasekhar et al. (2012) conducted a prospective, double-blind, randomized controlled trial demonstrating that high-concentration full-spectrum Ashwagandha root extract significantly reduces serum cortisol levels and perceived stress scores in adults.</w:t>
      </w:r>
    </w:p>
    <w:p>
      <w:pPr>
        <w:pStyle w:val="ListBullet"/>
      </w:pPr>
      <w:r>
        <w:rPr>
          <w:b/>
        </w:rPr>
        <w:t>Turmeric (*Curcuma longa*):</w:t>
      </w:r>
      <w:r>
        <w:t xml:space="preserve"> Hewlings &amp; Kalman (2017) systematically reviewed curcumin, detailing its modulation of systemic oxidative stress and cytokine signaling.</w:t>
      </w:r>
    </w:p>
    <w:p>
      <w:pPr>
        <w:pStyle w:val="ListBullet"/>
      </w:pPr>
      <w:r>
        <w:rPr>
          <w:b/>
        </w:rPr>
        <w:t>Tulsi (*Ocimum sanctum*):</w:t>
      </w:r>
      <w:r>
        <w:t xml:space="preserve"> Cohen (2014) surveyed extensive clinical and laboratory literature confirming Tulsi's multi-organ adaptogenic, antimicrobial, and neuroprotective profile.</w:t>
      </w:r>
    </w:p>
    <w:p>
      <w:pPr>
        <w:pStyle w:val="ListBullet"/>
      </w:pPr>
      <w:r>
        <w:rPr>
          <w:b/>
        </w:rPr>
        <w:t>Brahmi (*Bacopa monnieri*):</w:t>
      </w:r>
      <w:r>
        <w:t xml:space="preserve"> Stough et al. (2001) demonstrated significant enhancements in cognitive processing speed, working memory, and mental tranquility in healthy subjects.</w:t>
      </w:r>
    </w:p>
    <w:p>
      <w:pPr>
        <w:spacing w:after="120"/>
      </w:pPr>
      <w:r>
        <w:rPr>
          <w:i/>
        </w:rPr>
        <w:t>Literature Gap:</w:t>
      </w:r>
      <w:r>
        <w:t xml:space="preserve"> While pharmacological literature validates these herbs individually, digital systems often present them carelessly as over-the-counter cures. HealthSathi introduces rigorous safety guardrails: every botanical is contextualized as traditional wellness information, accompanied by safety contraindications, and framed strictly with advice to consult licensed healthcare practitioners.</w:t>
      </w:r>
    </w:p>
    <w:p>
      <w:pPr>
        <w:spacing w:before="120" w:after="120"/>
      </w:pPr>
    </w:p>
    <w:p>
      <w:pPr>
        <w:spacing w:before="280" w:after="80"/>
      </w:pPr>
      <w:r>
        <w:rPr>
          <w:rFonts w:ascii="Calibri" w:hAnsi="Calibri"/>
          <w:b/>
          <w:color w:val="1E5128"/>
          <w:sz w:val="28"/>
        </w:rPr>
        <w:t>5. System Methodology &amp; Mathematical Formulation</w:t>
      </w:r>
    </w:p>
    <w:p>
      <w:pPr>
        <w:spacing w:before="200" w:after="40"/>
      </w:pPr>
      <w:r>
        <w:rPr>
          <w:rFonts w:ascii="Calibri" w:hAnsi="Calibri"/>
          <w:b/>
          <w:color w:val="2A9D8F"/>
          <w:sz w:val="24"/>
        </w:rPr>
        <w:t>5.1 System Architecture</w:t>
      </w:r>
    </w:p>
    <w:p>
      <w:pPr>
        <w:spacing w:after="120"/>
      </w:pPr>
      <w:r>
        <w:t>HealthSathi is structured across four decoupled architectural tiers:</w:t>
      </w:r>
    </w:p>
    <w:p>
      <w:pPr>
        <w:pStyle w:val="ListNumber"/>
      </w:pPr>
      <w:r>
        <w:rPr>
          <w:b/>
        </w:rPr>
        <w:t>User Data Ingestion Tier:</w:t>
      </w:r>
      <w:r>
        <w:t xml:space="preserve"> Captures 24 lifestyle indicators, including biometric variables, sleep metrics, work/screen habits, fluid intake, diet quality, psychological tension, and self-reported health conditions.</w:t>
      </w:r>
    </w:p>
    <w:p>
      <w:pPr>
        <w:pStyle w:val="ListNumber"/>
      </w:pPr>
      <w:r>
        <w:rPr>
          <w:b/>
        </w:rPr>
        <w:t>Data Science &amp; Scoring Tier:</w:t>
      </w:r>
      <w:r>
        <w:t xml:space="preserve"> Executes input sanitization, decimal time transformations, body mass index computation, and dimension-specific scoring algorithms.</w:t>
      </w:r>
    </w:p>
    <w:p>
      <w:pPr>
        <w:pStyle w:val="ListNumber"/>
      </w:pPr>
      <w:r>
        <w:rPr>
          <w:b/>
        </w:rPr>
        <w:t>Curated IKS Knowledge Tier:</w:t>
      </w:r>
      <w:r>
        <w:t xml:space="preserve"> Implements a deterministic decision table that maps evaluated metrics against curated rules from classical texts.</w:t>
      </w:r>
    </w:p>
    <w:p>
      <w:pPr>
        <w:pStyle w:val="ListNumber"/>
      </w:pPr>
      <w:r>
        <w:rPr>
          <w:b/>
        </w:rPr>
        <w:t>Interactive Presentation &amp; Report Tier:</w:t>
      </w:r>
      <w:r>
        <w:t xml:space="preserve"> Renders real-time interactive Plotly visualizations, dynamic diurnal routines, explainability cards, and compiles downloadable ReportLab PDF dossiers.</w:t>
      </w:r>
    </w:p>
    <w:p>
      <w:pPr>
        <w:spacing w:before="200" w:after="40"/>
      </w:pPr>
      <w:r>
        <w:rPr>
          <w:rFonts w:ascii="Calibri" w:hAnsi="Calibri"/>
          <w:b/>
          <w:color w:val="2A9D8F"/>
          <w:sz w:val="24"/>
        </w:rPr>
        <w:t>5.2 Mathematical Formulation of Lifestyle Wellness Scores</w:t>
      </w:r>
    </w:p>
    <w:p>
      <w:pPr>
        <w:spacing w:after="120"/>
      </w:pPr>
      <w:r>
        <w:t>Each lifestyle dimension is quantified on a normalized scale $S \in [0, 100]$. The mathematical models are formulated as follows:</w:t>
      </w:r>
    </w:p>
    <w:p>
      <w:pPr>
        <w:spacing w:after="120"/>
      </w:pPr>
      <w:r>
        <w:t>#### 1. Sleep Score ($S_{sleep}$)</w:t>
      </w:r>
    </w:p>
    <w:p>
      <w:pPr>
        <w:spacing w:after="120"/>
      </w:pPr>
      <w:r>
        <w:t>Let $D$ be sleep duration in hours, $Q \in \{-15, 0, 12\}$ be the sleep quality offset (Poor, Moderate, Good), and $T_{bed}$ be the decimal bedtime hour ($0 \le T_{bed} &lt; 24$):</w:t>
      </w:r>
    </w:p>
    <w:p>
      <w:pPr>
        <w:spacing w:after="120"/>
      </w:pPr>
      <w:r>
        <w:t>$$S_{dur}(D) = \begin{cases}</w:t>
      </w:r>
    </w:p>
    <w:p>
      <w:pPr>
        <w:spacing w:after="120"/>
      </w:pPr>
      <w:r>
        <w:t>100 &amp; \text{if } 7.0 \le D \le 8.5 \\</w:t>
      </w:r>
    </w:p>
    <w:p>
      <w:pPr>
        <w:spacing w:after="120"/>
      </w:pPr>
      <w:r>
        <w:t>\max(10, 100 - (7.0 - D) \times 22) &amp; \text{if } D &lt; 7.0 \\</w:t>
      </w:r>
    </w:p>
    <w:p>
      <w:pPr>
        <w:spacing w:after="120"/>
      </w:pPr>
      <w:r>
        <w:t>\max(30, 100 - (D - 8.5) \times 18) &amp; \text{if } D &gt; 8.5</w:t>
      </w:r>
    </w:p>
    <w:p>
      <w:pPr>
        <w:spacing w:after="120"/>
      </w:pPr>
      <w:r>
        <w:t>\end{cases}$$</w:t>
      </w:r>
    </w:p>
    <w:p>
      <w:pPr>
        <w:spacing w:after="120"/>
      </w:pPr>
      <w:r>
        <w:t>The bedtime circadian modifier $C_{time}$ awards $+10$ points for retirement prior to 10:30 PM (Kapha tranquility phase), $+5$ for 10:30–11:30 PM, $-10$ for 11:30 PM–1:00 AM, and $-20$ for post-1:00 AM.</w:t>
      </w:r>
    </w:p>
    <w:p>
      <w:pPr>
        <w:spacing w:after="120"/>
      </w:pPr>
      <w:r>
        <w:t>$$S_{sleep} = \text{clamp}\Big(0.70 \cdot S_{dur} + 0.20 \cdot (50 + Q) + 0.10 \cdot (50 + C_{time}), 5, 100\Big)$$</w:t>
      </w:r>
    </w:p>
    <w:p>
      <w:pPr>
        <w:spacing w:after="120"/>
      </w:pPr>
      <w:r>
        <w:t>#### 2. Physical Activity Score ($S_{act}$)</w:t>
      </w:r>
    </w:p>
    <w:p>
      <w:pPr>
        <w:spacing w:after="120"/>
      </w:pPr>
      <w:r>
        <w:t>Let $A$ be physical activity in minutes, $O$ be outdoor sunlight exposure in minutes, and $H_{scr}$ be daily screen hours:</w:t>
      </w:r>
    </w:p>
    <w:p>
      <w:pPr>
        <w:spacing w:after="120"/>
      </w:pPr>
      <w:r>
        <w:t>$$S_{act} = \text{clamp}\left( \min\Big(70, \frac{A}{45} \times 70\Big) + \min\Big(30, \frac{O}{30} \times 30\Big) - \max(0, (H_{scr} - 8) \times 4), 5, 100 \right)$$</w:t>
      </w:r>
    </w:p>
    <w:p>
      <w:pPr>
        <w:spacing w:after="120"/>
      </w:pPr>
      <w:r>
        <w:t>#### 3. Stress Management Score ($S_{stress}$)</w:t>
      </w:r>
    </w:p>
    <w:p>
      <w:pPr>
        <w:spacing w:after="120"/>
      </w:pPr>
      <w:r>
        <w:t>Let $L \in [1, 10]$ be the self-reported stress level, $M \in \{-15, 0, 10\}$ be the mood modifier, and $R \in \{-8, 10\}$ be the relaxation practice indicator:</w:t>
      </w:r>
    </w:p>
    <w:p>
      <w:pPr>
        <w:spacing w:after="120"/>
      </w:pPr>
      <w:r>
        <w:t>$$S_{stress} = \text{clamp}\Big(0.75 \cdot (11 - L) \times 10 + 0.15 \cdot (50 + M) + 0.10 \cdot (50 + R), 5, 100\Big)$$</w:t>
      </w:r>
    </w:p>
    <w:p>
      <w:pPr>
        <w:spacing w:after="120"/>
      </w:pPr>
      <w:r>
        <w:t>#### 4. Hydration Score ($S_{hyd}$)</w:t>
      </w:r>
    </w:p>
    <w:p>
      <w:pPr>
        <w:spacing w:after="120"/>
      </w:pPr>
      <w:r>
        <w:t>Let $W_{kg}$ be body weight, $W_{lit}$ be actual fluid intake, and $A$ be activity minutes. The individualized target $T_{water}$ is:</w:t>
      </w:r>
    </w:p>
    <w:p>
      <w:pPr>
        <w:spacing w:after="120"/>
      </w:pPr>
      <w:r>
        <w:t>$$T_{water} = \text{clamp}\left((W_{kg} \times 0.035) + \frac{A}{60} \times 0.5, 2.0, 4.0\right)$$</w:t>
      </w:r>
    </w:p>
    <w:p>
      <w:pPr>
        <w:spacing w:after="120"/>
      </w:pPr>
      <w:r>
        <w:t>Let $\rho = \frac{W_{lit}}{T_{water}}$. The score $S_{hyd}$ reaches 100 at $\rho \in [0.90, 1.30]$, tapering proportionally for dehydration ($\rho &lt; 0.90$) or extreme overhydration ($\rho &gt; 1.30$).</w:t>
      </w:r>
    </w:p>
    <w:p>
      <w:pPr>
        <w:spacing w:after="120"/>
      </w:pPr>
      <w:r>
        <w:t>#### 5. Routine Consistency Score ($S_{rout}$)</w:t>
      </w:r>
    </w:p>
    <w:p>
      <w:pPr>
        <w:spacing w:after="120"/>
      </w:pPr>
      <w:r>
        <w:t xml:space="preserve">Reflecting </w:t>
      </w:r>
      <w:r>
        <w:rPr>
          <w:i/>
        </w:rPr>
        <w:t>Dinacharya</w:t>
      </w:r>
      <w:r>
        <w:t xml:space="preserve"> synchronization, points are awarded for regular meal times ($+25$), consistent timing ($+25$), sustainable work hours ($+20$), screen exposure $\le 6$ hours ($+15$), and waking before 6:30 AM ($+15$).</w:t>
      </w:r>
    </w:p>
    <w:p>
      <w:pPr>
        <w:spacing w:after="120"/>
      </w:pPr>
      <w:r>
        <w:t>#### 6. Nutrition &amp; Dietary Score ($S_{nut}$)</w:t>
      </w:r>
    </w:p>
    <w:p>
      <w:pPr>
        <w:spacing w:after="120"/>
      </w:pPr>
      <w:r>
        <w:t xml:space="preserve">Reflecting </w:t>
      </w:r>
      <w:r>
        <w:rPr>
          <w:i/>
        </w:rPr>
        <w:t>Ahara Vidhi</w:t>
      </w:r>
      <w:r>
        <w:t>, points reward regular breakfast ($+20$), high fresh fruit/vegetable intake ($+40$), low processed food consumption ($+30$), and low caffeine dependency ($+10$).</w:t>
      </w:r>
    </w:p>
    <w:p>
      <w:pPr>
        <w:spacing w:after="120"/>
      </w:pPr>
      <w:r>
        <w:t>#### 7. Composite Lifestyle Wellness Score ($LWS$)</w:t>
      </w:r>
    </w:p>
    <w:p>
      <w:pPr>
        <w:spacing w:after="120"/>
      </w:pPr>
      <w:r>
        <w:t>The composite score synthesizes all six dimensions using preventive epidemiological weights:</w:t>
      </w:r>
    </w:p>
    <w:p>
      <w:pPr>
        <w:spacing w:after="120"/>
      </w:pPr>
      <w:r>
        <w:t>$$LWS = 0.22 \cdot S_{sleep} + 0.20 \cdot S_{stress} + 0.18 \cdot S_{act} + 0.18 \cdot S_{nut} + 0.12 \cdot S_{rout} + 0.10 \cdot S_{hyd}$$</w:t>
      </w:r>
    </w:p>
    <w:p>
      <w:pPr>
        <w:spacing w:after="120"/>
      </w:pPr>
      <w:r>
        <w:t>The score is mapped to classical stages:</w:t>
      </w:r>
    </w:p>
    <w:p>
      <w:pPr>
        <w:pStyle w:val="ListBullet"/>
      </w:pPr>
      <w:r>
        <w:rPr>
          <w:b/>
        </w:rPr>
        <w:t>$\ge 85$:</w:t>
      </w:r>
      <w:r>
        <w:t xml:space="preserve"> Excellent (</w:t>
      </w:r>
      <w:r>
        <w:rPr>
          <w:i/>
        </w:rPr>
        <w:t>Svastha</w:t>
      </w:r>
      <w:r>
        <w:t>) — Harmonious constitutional balance</w:t>
      </w:r>
    </w:p>
    <w:p>
      <w:pPr>
        <w:pStyle w:val="ListBullet"/>
      </w:pPr>
      <w:r>
        <w:rPr>
          <w:b/>
        </w:rPr>
        <w:t>$70 - 84.9$:</w:t>
      </w:r>
      <w:r>
        <w:t xml:space="preserve"> Good (</w:t>
      </w:r>
      <w:r>
        <w:rPr>
          <w:i/>
        </w:rPr>
        <w:t>Prasanna</w:t>
      </w:r>
      <w:r>
        <w:t>) — Wholesome foundation with minor optimizations</w:t>
      </w:r>
    </w:p>
    <w:p>
      <w:pPr>
        <w:pStyle w:val="ListBullet"/>
      </w:pPr>
      <w:r>
        <w:rPr>
          <w:b/>
        </w:rPr>
        <w:t>$55 - 69.9$:</w:t>
      </w:r>
      <w:r>
        <w:t xml:space="preserve"> Moderate (</w:t>
      </w:r>
      <w:r>
        <w:rPr>
          <w:i/>
        </w:rPr>
        <w:t>Madhyama</w:t>
      </w:r>
      <w:r>
        <w:t>) — Inconsistent habits, susceptible to fatigue</w:t>
      </w:r>
    </w:p>
    <w:p>
      <w:pPr>
        <w:pStyle w:val="ListBullet"/>
      </w:pPr>
      <w:r>
        <w:rPr>
          <w:b/>
        </w:rPr>
        <w:t>$&lt; 55$:</w:t>
      </w:r>
      <w:r>
        <w:t xml:space="preserve"> Needs Attention (</w:t>
      </w:r>
      <w:r>
        <w:rPr>
          <w:i/>
        </w:rPr>
        <w:t>Hina Vihara</w:t>
      </w:r>
      <w:r>
        <w:t>) — Substantial lifestyle strain requiring realignment</w:t>
      </w:r>
    </w:p>
    <w:p>
      <w:pPr>
        <w:spacing w:before="120" w:after="120"/>
      </w:pPr>
    </w:p>
    <w:p>
      <w:pPr>
        <w:spacing w:before="280" w:after="80"/>
      </w:pPr>
      <w:r>
        <w:rPr>
          <w:rFonts w:ascii="Calibri" w:hAnsi="Calibri"/>
          <w:b/>
          <w:color w:val="1E5128"/>
          <w:sz w:val="28"/>
        </w:rPr>
        <w:t>6. Curated IKS Rule Engine &amp; Explainability Mechanism</w:t>
      </w:r>
    </w:p>
    <w:p>
      <w:pPr>
        <w:spacing w:after="120"/>
      </w:pPr>
      <w:r>
        <w:t>A core design tenet of HealthSathi is explainability. The system avoids opaque black-box recommendations. Every suggestion is triggered by a clear mathematical condition, mapped to an explicit IKS concept, and substantiated with a published institutional citation.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5128"/>
          </w:tcPr>
          <w:p>
            <w:r>
              <w:rPr>
                <w:b/>
                <w:color w:val="FFFFFF"/>
              </w:rPr>
              <w:t>Rule ID</w:t>
            </w:r>
          </w:p>
        </w:tc>
        <w:tc>
          <w:tcPr>
            <w:tcW w:type="dxa" w:w="1872"/>
            <w:shd w:fill="1E5128"/>
          </w:tcPr>
          <w:p>
            <w:r>
              <w:rPr>
                <w:b/>
                <w:color w:val="FFFFFF"/>
              </w:rPr>
              <w:t>Category</w:t>
            </w:r>
          </w:p>
        </w:tc>
        <w:tc>
          <w:tcPr>
            <w:tcW w:type="dxa" w:w="1872"/>
            <w:shd w:fill="1E5128"/>
          </w:tcPr>
          <w:p>
            <w:r>
              <w:rPr>
                <w:b/>
                <w:color w:val="FFFFFF"/>
              </w:rPr>
              <w:t>Trigger Condition</w:t>
            </w:r>
          </w:p>
        </w:tc>
        <w:tc>
          <w:tcPr>
            <w:tcW w:type="dxa" w:w="1872"/>
            <w:shd w:fill="1E5128"/>
          </w:tcPr>
          <w:p>
            <w:r>
              <w:rPr>
                <w:b/>
                <w:color w:val="FFFFFF"/>
              </w:rPr>
              <w:t>IKS Classical Principle</w:t>
            </w:r>
          </w:p>
        </w:tc>
        <w:tc>
          <w:tcPr>
            <w:tcW w:type="dxa" w:w="1872"/>
            <w:shd w:fill="1E5128"/>
          </w:tcPr>
          <w:p>
            <w:r>
              <w:rPr>
                <w:b/>
                <w:color w:val="FFFFFF"/>
              </w:rPr>
              <w:t>Primary Source Reference</w:t>
            </w:r>
          </w:p>
        </w:tc>
      </w:tr>
      <w:tr>
        <w:tc>
          <w:tcPr>
            <w:tcW w:type="dxa" w:w="1872"/>
            <w:shd w:fill="F8FAFC"/>
          </w:tcPr>
          <w:p>
            <w:r>
              <w:t>R-SLP-01</w:t>
            </w:r>
          </w:p>
        </w:tc>
        <w:tc>
          <w:tcPr>
            <w:tcW w:type="dxa" w:w="1872"/>
            <w:shd w:fill="F8FAFC"/>
          </w:tcPr>
          <w:p>
            <w:r>
              <w:t>Sleep</w:t>
            </w:r>
          </w:p>
        </w:tc>
        <w:tc>
          <w:tcPr>
            <w:tcW w:type="dxa" w:w="1872"/>
            <w:shd w:fill="F8FAFC"/>
          </w:tcPr>
          <w:p>
            <w:r>
              <w:t>Sleep Duration &lt; 6.5h</w:t>
            </w:r>
          </w:p>
        </w:tc>
        <w:tc>
          <w:tcPr>
            <w:tcW w:type="dxa" w:w="1872"/>
            <w:shd w:fill="F8FAFC"/>
          </w:tcPr>
          <w:p>
            <w:r>
              <w:t>Nidra Trayopasthambha (Sleep as Life Pillar)</w:t>
            </w:r>
          </w:p>
        </w:tc>
        <w:tc>
          <w:tcPr>
            <w:tcW w:type="dxa" w:w="1872"/>
            <w:shd w:fill="F8FAFC"/>
          </w:tcPr>
          <w:p>
            <w:r>
              <w:t>Charaka Samhita Sutra. 21.36</w:t>
            </w:r>
          </w:p>
        </w:tc>
      </w:tr>
      <w:tr>
        <w:tc>
          <w:tcPr>
            <w:tcW w:type="dxa" w:w="1872"/>
            <w:shd w:fill="FFFFFF"/>
          </w:tcPr>
          <w:p>
            <w:r>
              <w:t>R-SLP-02</w:t>
            </w:r>
          </w:p>
        </w:tc>
        <w:tc>
          <w:tcPr>
            <w:tcW w:type="dxa" w:w="1872"/>
            <w:shd w:fill="FFFFFF"/>
          </w:tcPr>
          <w:p>
            <w:r>
              <w:t>Sleep</w:t>
            </w:r>
          </w:p>
        </w:tc>
        <w:tc>
          <w:tcPr>
            <w:tcW w:type="dxa" w:w="1872"/>
            <w:shd w:fill="FFFFFF"/>
          </w:tcPr>
          <w:p>
            <w:r>
              <w:t>Bedtime $\ge$ 11:30 PM</w:t>
            </w:r>
          </w:p>
        </w:tc>
        <w:tc>
          <w:tcPr>
            <w:tcW w:type="dxa" w:w="1872"/>
            <w:shd w:fill="FFFFFF"/>
          </w:tcPr>
          <w:p>
            <w:r>
              <w:t>Ratricharya (Circadian Night Regimen)</w:t>
            </w:r>
          </w:p>
        </w:tc>
        <w:tc>
          <w:tcPr>
            <w:tcW w:type="dxa" w:w="1872"/>
            <w:shd w:fill="FFFFFF"/>
          </w:tcPr>
          <w:p>
            <w:r>
              <w:t>Astanga Hridaya Sutra. 2.18</w:t>
            </w:r>
          </w:p>
        </w:tc>
      </w:tr>
      <w:tr>
        <w:tc>
          <w:tcPr>
            <w:tcW w:type="dxa" w:w="1872"/>
            <w:shd w:fill="F8FAFC"/>
          </w:tcPr>
          <w:p>
            <w:r>
              <w:t>R-ACT-01</w:t>
            </w:r>
          </w:p>
        </w:tc>
        <w:tc>
          <w:tcPr>
            <w:tcW w:type="dxa" w:w="1872"/>
            <w:shd w:fill="F8FAFC"/>
          </w:tcPr>
          <w:p>
            <w:r>
              <w:t>Activity</w:t>
            </w:r>
          </w:p>
        </w:tc>
        <w:tc>
          <w:tcPr>
            <w:tcW w:type="dxa" w:w="1872"/>
            <w:shd w:fill="F8FAFC"/>
          </w:tcPr>
          <w:p>
            <w:r>
              <w:t>Physical Activity &lt; 30m</w:t>
            </w:r>
          </w:p>
        </w:tc>
        <w:tc>
          <w:tcPr>
            <w:tcW w:type="dxa" w:w="1872"/>
            <w:shd w:fill="F8FAFC"/>
          </w:tcPr>
          <w:p>
            <w:r>
              <w:t>Vyayama Maryada (Half-Capacity Exercise)</w:t>
            </w:r>
          </w:p>
        </w:tc>
        <w:tc>
          <w:tcPr>
            <w:tcW w:type="dxa" w:w="1872"/>
            <w:shd w:fill="F8FAFC"/>
          </w:tcPr>
          <w:p>
            <w:r>
              <w:t>Astanga Hridaya Sutra. 2.10</w:t>
            </w:r>
          </w:p>
        </w:tc>
      </w:tr>
      <w:tr>
        <w:tc>
          <w:tcPr>
            <w:tcW w:type="dxa" w:w="1872"/>
            <w:shd w:fill="FFFFFF"/>
          </w:tcPr>
          <w:p>
            <w:r>
              <w:t>R-STR-01</w:t>
            </w:r>
          </w:p>
        </w:tc>
        <w:tc>
          <w:tcPr>
            <w:tcW w:type="dxa" w:w="1872"/>
            <w:shd w:fill="FFFFFF"/>
          </w:tcPr>
          <w:p>
            <w:r>
              <w:t>Mental</w:t>
            </w:r>
          </w:p>
        </w:tc>
        <w:tc>
          <w:tcPr>
            <w:tcW w:type="dxa" w:w="1872"/>
            <w:shd w:fill="FFFFFF"/>
          </w:tcPr>
          <w:p>
            <w:r>
              <w:t>Stress Level $\ge$ 7/10</w:t>
            </w:r>
          </w:p>
        </w:tc>
        <w:tc>
          <w:tcPr>
            <w:tcW w:type="dxa" w:w="1872"/>
            <w:shd w:fill="FFFFFF"/>
          </w:tcPr>
          <w:p>
            <w:r>
              <w:t>Sadvritta &amp; Dhyana (Ethical Calm &amp; Meditation)</w:t>
            </w:r>
          </w:p>
        </w:tc>
        <w:tc>
          <w:tcPr>
            <w:tcW w:type="dxa" w:w="1872"/>
            <w:shd w:fill="FFFFFF"/>
          </w:tcPr>
          <w:p>
            <w:r>
              <w:t>Charaka Samhita Sutra. 11.54</w:t>
            </w:r>
          </w:p>
        </w:tc>
      </w:tr>
      <w:tr>
        <w:tc>
          <w:tcPr>
            <w:tcW w:type="dxa" w:w="1872"/>
            <w:shd w:fill="F8FAFC"/>
          </w:tcPr>
          <w:p>
            <w:r>
              <w:t>R-STR-02</w:t>
            </w:r>
          </w:p>
        </w:tc>
        <w:tc>
          <w:tcPr>
            <w:tcW w:type="dxa" w:w="1872"/>
            <w:shd w:fill="F8FAFC"/>
          </w:tcPr>
          <w:p>
            <w:r>
              <w:t>Mental</w:t>
            </w:r>
          </w:p>
        </w:tc>
        <w:tc>
          <w:tcPr>
            <w:tcW w:type="dxa" w:w="1872"/>
            <w:shd w:fill="F8FAFC"/>
          </w:tcPr>
          <w:p>
            <w:r>
              <w:t>Relaxation Practice == False</w:t>
            </w:r>
          </w:p>
        </w:tc>
        <w:tc>
          <w:tcPr>
            <w:tcW w:type="dxa" w:w="1872"/>
            <w:shd w:fill="F8FAFC"/>
          </w:tcPr>
          <w:p>
            <w:r>
              <w:t>Pranayama &amp; Manasika Shanti</w:t>
            </w:r>
          </w:p>
        </w:tc>
        <w:tc>
          <w:tcPr>
            <w:tcW w:type="dxa" w:w="1872"/>
            <w:shd w:fill="F8FAFC"/>
          </w:tcPr>
          <w:p>
            <w:r>
              <w:t>Chandrasekhar et al. (2012)</w:t>
            </w:r>
          </w:p>
        </w:tc>
      </w:tr>
      <w:tr>
        <w:tc>
          <w:tcPr>
            <w:tcW w:type="dxa" w:w="1872"/>
            <w:shd w:fill="FFFFFF"/>
          </w:tcPr>
          <w:p>
            <w:r>
              <w:t>R-HYD-01</w:t>
            </w:r>
          </w:p>
        </w:tc>
        <w:tc>
          <w:tcPr>
            <w:tcW w:type="dxa" w:w="1872"/>
            <w:shd w:fill="FFFFFF"/>
          </w:tcPr>
          <w:p>
            <w:r>
              <w:t>Hydration</w:t>
            </w:r>
          </w:p>
        </w:tc>
        <w:tc>
          <w:tcPr>
            <w:tcW w:type="dxa" w:w="1872"/>
            <w:shd w:fill="FFFFFF"/>
          </w:tcPr>
          <w:p>
            <w:r>
              <w:t>Fluid Intake &lt; 2.0L</w:t>
            </w:r>
          </w:p>
        </w:tc>
        <w:tc>
          <w:tcPr>
            <w:tcW w:type="dxa" w:w="1872"/>
            <w:shd w:fill="FFFFFF"/>
          </w:tcPr>
          <w:p>
            <w:r>
              <w:t>Ushnodaka (Therapeutic Warm Hydration)</w:t>
            </w:r>
          </w:p>
        </w:tc>
        <w:tc>
          <w:tcPr>
            <w:tcW w:type="dxa" w:w="1872"/>
            <w:shd w:fill="FFFFFF"/>
          </w:tcPr>
          <w:p>
            <w:r>
              <w:t>Bhavaprakasha Nighantu Varivarga</w:t>
            </w:r>
          </w:p>
        </w:tc>
      </w:tr>
      <w:tr>
        <w:tc>
          <w:tcPr>
            <w:tcW w:type="dxa" w:w="1872"/>
            <w:shd w:fill="F8FAFC"/>
          </w:tcPr>
          <w:p>
            <w:r>
              <w:t>R-NUT-01</w:t>
            </w:r>
          </w:p>
        </w:tc>
        <w:tc>
          <w:tcPr>
            <w:tcW w:type="dxa" w:w="1872"/>
            <w:shd w:fill="F8FAFC"/>
          </w:tcPr>
          <w:p>
            <w:r>
              <w:t>Nutrition</w:t>
            </w:r>
          </w:p>
        </w:tc>
        <w:tc>
          <w:tcPr>
            <w:tcW w:type="dxa" w:w="1872"/>
            <w:shd w:fill="F8FAFC"/>
          </w:tcPr>
          <w:p>
            <w:r>
              <w:t>Breakfast Skipped == True</w:t>
            </w:r>
          </w:p>
        </w:tc>
        <w:tc>
          <w:tcPr>
            <w:tcW w:type="dxa" w:w="1872"/>
            <w:shd w:fill="F8FAFC"/>
          </w:tcPr>
          <w:p>
            <w:r>
              <w:t>Agni Deepana (Igniting Digestive Fire)</w:t>
            </w:r>
          </w:p>
        </w:tc>
        <w:tc>
          <w:tcPr>
            <w:tcW w:type="dxa" w:w="1872"/>
            <w:shd w:fill="F8FAFC"/>
          </w:tcPr>
          <w:p>
            <w:r>
              <w:t>Charaka Samhita Sutra. 27.245</w:t>
            </w:r>
          </w:p>
        </w:tc>
      </w:tr>
      <w:tr>
        <w:tc>
          <w:tcPr>
            <w:tcW w:type="dxa" w:w="1872"/>
            <w:shd w:fill="FFFFFF"/>
          </w:tcPr>
          <w:p>
            <w:r>
              <w:t>R-NUT-02</w:t>
            </w:r>
          </w:p>
        </w:tc>
        <w:tc>
          <w:tcPr>
            <w:tcW w:type="dxa" w:w="1872"/>
            <w:shd w:fill="FFFFFF"/>
          </w:tcPr>
          <w:p>
            <w:r>
              <w:t>Nutrition</w:t>
            </w:r>
          </w:p>
        </w:tc>
        <w:tc>
          <w:tcPr>
            <w:tcW w:type="dxa" w:w="1872"/>
            <w:shd w:fill="FFFFFF"/>
          </w:tcPr>
          <w:p>
            <w:r>
              <w:t>Processed Food == High</w:t>
            </w:r>
          </w:p>
        </w:tc>
        <w:tc>
          <w:tcPr>
            <w:tcW w:type="dxa" w:w="1872"/>
            <w:shd w:fill="FFFFFF"/>
          </w:tcPr>
          <w:p>
            <w:r>
              <w:t>Ahara Shuddhi (Freshness &amp; Purity of Food)</w:t>
            </w:r>
          </w:p>
        </w:tc>
        <w:tc>
          <w:tcPr>
            <w:tcW w:type="dxa" w:w="1872"/>
            <w:shd w:fill="FFFFFF"/>
          </w:tcPr>
          <w:p>
            <w:r>
              <w:t>Charaka Samhita Sutra. 27.3</w:t>
            </w:r>
          </w:p>
        </w:tc>
      </w:tr>
      <w:tr>
        <w:tc>
          <w:tcPr>
            <w:tcW w:type="dxa" w:w="1872"/>
            <w:shd w:fill="F8FAFC"/>
          </w:tcPr>
          <w:p>
            <w:r>
              <w:t>R-NUT-03</w:t>
            </w:r>
          </w:p>
        </w:tc>
        <w:tc>
          <w:tcPr>
            <w:tcW w:type="dxa" w:w="1872"/>
            <w:shd w:fill="F8FAFC"/>
          </w:tcPr>
          <w:p>
            <w:r>
              <w:t>Nutrition</w:t>
            </w:r>
          </w:p>
        </w:tc>
        <w:tc>
          <w:tcPr>
            <w:tcW w:type="dxa" w:w="1872"/>
            <w:shd w:fill="F8FAFC"/>
          </w:tcPr>
          <w:p>
            <w:r>
              <w:t>Caffeine Frequency == High</w:t>
            </w:r>
          </w:p>
        </w:tc>
        <w:tc>
          <w:tcPr>
            <w:tcW w:type="dxa" w:w="1872"/>
            <w:shd w:fill="F8FAFC"/>
          </w:tcPr>
          <w:p>
            <w:r>
              <w:t>Pitta Prashamana (Adrenal Calm)</w:t>
            </w:r>
          </w:p>
        </w:tc>
        <w:tc>
          <w:tcPr>
            <w:tcW w:type="dxa" w:w="1872"/>
            <w:shd w:fill="F8FAFC"/>
          </w:tcPr>
          <w:p>
            <w:r>
              <w:t>Cohen (2014) Tulsi &amp; Charaka</w:t>
            </w:r>
          </w:p>
        </w:tc>
      </w:tr>
      <w:tr>
        <w:tc>
          <w:tcPr>
            <w:tcW w:type="dxa" w:w="1872"/>
            <w:shd w:fill="FFFFFF"/>
          </w:tcPr>
          <w:p>
            <w:r>
              <w:t>R-ROU-01</w:t>
            </w:r>
          </w:p>
        </w:tc>
        <w:tc>
          <w:tcPr>
            <w:tcW w:type="dxa" w:w="1872"/>
            <w:shd w:fill="FFFFFF"/>
          </w:tcPr>
          <w:p>
            <w:r>
              <w:t>Routine</w:t>
            </w:r>
          </w:p>
        </w:tc>
        <w:tc>
          <w:tcPr>
            <w:tcW w:type="dxa" w:w="1872"/>
            <w:shd w:fill="FFFFFF"/>
          </w:tcPr>
          <w:p>
            <w:r>
              <w:t>Screen Time &gt; 7.0h</w:t>
            </w:r>
          </w:p>
        </w:tc>
        <w:tc>
          <w:tcPr>
            <w:tcW w:type="dxa" w:w="1872"/>
            <w:shd w:fill="FFFFFF"/>
          </w:tcPr>
          <w:p>
            <w:r>
              <w:t>Indriya Shrama (Sensory Organ Fatigue)</w:t>
            </w:r>
          </w:p>
        </w:tc>
        <w:tc>
          <w:tcPr>
            <w:tcW w:type="dxa" w:w="1872"/>
            <w:shd w:fill="FFFFFF"/>
          </w:tcPr>
          <w:p>
            <w:r>
              <w:t>Astanga Hridaya Sutra. 2.22</w:t>
            </w:r>
          </w:p>
        </w:tc>
      </w:tr>
      <w:tr>
        <w:tc>
          <w:tcPr>
            <w:tcW w:type="dxa" w:w="1872"/>
            <w:shd w:fill="F8FAFC"/>
          </w:tcPr>
          <w:p>
            <w:r>
              <w:t>R-ROU-02</w:t>
            </w:r>
          </w:p>
        </w:tc>
        <w:tc>
          <w:tcPr>
            <w:tcW w:type="dxa" w:w="1872"/>
            <w:shd w:fill="F8FAFC"/>
          </w:tcPr>
          <w:p>
            <w:r>
              <w:t>Routine</w:t>
            </w:r>
          </w:p>
        </w:tc>
        <w:tc>
          <w:tcPr>
            <w:tcW w:type="dxa" w:w="1872"/>
            <w:shd w:fill="F8FAFC"/>
          </w:tcPr>
          <w:p>
            <w:r>
              <w:t>Outdoor Time &lt; 20m</w:t>
            </w:r>
          </w:p>
        </w:tc>
        <w:tc>
          <w:tcPr>
            <w:tcW w:type="dxa" w:w="1872"/>
            <w:shd w:fill="F8FAFC"/>
          </w:tcPr>
          <w:p>
            <w:r>
              <w:t>Prakriti Sambandha (Nature Synchronization)</w:t>
            </w:r>
          </w:p>
        </w:tc>
        <w:tc>
          <w:tcPr>
            <w:tcW w:type="dxa" w:w="1872"/>
            <w:shd w:fill="F8FAFC"/>
          </w:tcPr>
          <w:p>
            <w:r>
              <w:t>Astanga Hridaya Sutra. 2.1</w:t>
            </w:r>
          </w:p>
        </w:tc>
      </w:tr>
      <w:tr>
        <w:tc>
          <w:tcPr>
            <w:tcW w:type="dxa" w:w="1872"/>
            <w:shd w:fill="FFFFFF"/>
          </w:tcPr>
          <w:p>
            <w:r>
              <w:t>R-ROU-03</w:t>
            </w:r>
          </w:p>
        </w:tc>
        <w:tc>
          <w:tcPr>
            <w:tcW w:type="dxa" w:w="1872"/>
            <w:shd w:fill="FFFFFF"/>
          </w:tcPr>
          <w:p>
            <w:r>
              <w:t>Routine</w:t>
            </w:r>
          </w:p>
        </w:tc>
        <w:tc>
          <w:tcPr>
            <w:tcW w:type="dxa" w:w="1872"/>
            <w:shd w:fill="FFFFFF"/>
          </w:tcPr>
          <w:p>
            <w:r>
              <w:t>Meal Regularity == Irregular</w:t>
            </w:r>
          </w:p>
        </w:tc>
        <w:tc>
          <w:tcPr>
            <w:tcW w:type="dxa" w:w="1872"/>
            <w:shd w:fill="FFFFFF"/>
          </w:tcPr>
          <w:p>
            <w:r>
              <w:t>Kala Bhojana (Chrononutrition Windows)</w:t>
            </w:r>
          </w:p>
        </w:tc>
        <w:tc>
          <w:tcPr>
            <w:tcW w:type="dxa" w:w="1872"/>
            <w:shd w:fill="FFFFFF"/>
          </w:tcPr>
          <w:p>
            <w:r>
              <w:t>Charaka Samhita Sutra. 27.250</w:t>
            </w:r>
          </w:p>
        </w:tc>
      </w:tr>
      <w:tr>
        <w:tc>
          <w:tcPr>
            <w:tcW w:type="dxa" w:w="1872"/>
            <w:shd w:fill="F8FAFC"/>
          </w:tcPr>
          <w:p>
            <w:r>
              <w:t>R-CND-01</w:t>
            </w:r>
          </w:p>
        </w:tc>
        <w:tc>
          <w:tcPr>
            <w:tcW w:type="dxa" w:w="1872"/>
            <w:shd w:fill="F8FAFC"/>
          </w:tcPr>
          <w:p>
            <w:r>
              <w:t>Context</w:t>
            </w:r>
          </w:p>
        </w:tc>
        <w:tc>
          <w:tcPr>
            <w:tcW w:type="dxa" w:w="1872"/>
            <w:shd w:fill="F8FAFC"/>
          </w:tcPr>
          <w:p>
            <w:r>
              <w:t>Health Condition != None</w:t>
            </w:r>
          </w:p>
        </w:tc>
        <w:tc>
          <w:tcPr>
            <w:tcW w:type="dxa" w:w="1872"/>
            <w:shd w:fill="F8FAFC"/>
          </w:tcPr>
          <w:p>
            <w:r>
              <w:t>Svasthavritta Paripalana (Supportive Context)</w:t>
            </w:r>
          </w:p>
        </w:tc>
        <w:tc>
          <w:tcPr>
            <w:tcW w:type="dxa" w:w="1872"/>
            <w:shd w:fill="F8FAFC"/>
          </w:tcPr>
          <w:p>
            <w:r>
              <w:t>WHO Integrative Medicine Strategy</w:t>
            </w:r>
          </w:p>
        </w:tc>
      </w:tr>
    </w:tbl>
    <w:p/>
    <w:p>
      <w:pPr>
        <w:spacing w:before="200" w:after="40"/>
      </w:pPr>
      <w:r>
        <w:rPr>
          <w:rFonts w:ascii="Calibri" w:hAnsi="Calibri"/>
          <w:b/>
          <w:color w:val="2A9D8F"/>
          <w:sz w:val="24"/>
        </w:rPr>
        <w:t>6.1 The "Why Am I Getting This Recommendation?" Architecture</w:t>
      </w:r>
    </w:p>
    <w:p>
      <w:pPr>
        <w:spacing w:after="120"/>
      </w:pPr>
      <w:r>
        <w:t>When a recommendation appears on the dashboard or generated report, it presents an explainability card containing three explicit elements:</w:t>
      </w:r>
    </w:p>
    <w:p>
      <w:pPr>
        <w:pStyle w:val="ListNumber"/>
      </w:pPr>
      <w:r>
        <w:rPr>
          <w:b/>
        </w:rPr>
        <w:t>User Habit Trigger:</w:t>
      </w:r>
      <w:r>
        <w:t xml:space="preserve"> The exact reported parameter that crossed the guideline threshold (e.g., "Reported sleep is 5.5 hours, below the 6.5-hour baseline").</w:t>
      </w:r>
    </w:p>
    <w:p>
      <w:pPr>
        <w:pStyle w:val="ListNumber"/>
      </w:pPr>
      <w:r>
        <w:rPr>
          <w:b/>
        </w:rPr>
        <w:t>IKS Scientific Rationale:</w:t>
      </w:r>
      <w:r>
        <w:t xml:space="preserve"> The classical physiological reasoning (e.g., "Inadequate sleep aggravates dry Vata dosha, depleting vital Ojas and impairing cognitive focus").</w:t>
      </w:r>
    </w:p>
    <w:p>
      <w:pPr>
        <w:pStyle w:val="ListNumber"/>
      </w:pPr>
      <w:r>
        <w:rPr>
          <w:b/>
        </w:rPr>
        <w:t>Authentic Source Link:</w:t>
      </w:r>
      <w:r>
        <w:t xml:space="preserve"> Direct metadata and institutional URL to the relevant classical chapter or peer-reviewed publication.</w:t>
      </w:r>
    </w:p>
    <w:p>
      <w:pPr>
        <w:spacing w:before="120" w:after="120"/>
      </w:pPr>
    </w:p>
    <w:p>
      <w:pPr>
        <w:spacing w:before="280" w:after="80"/>
      </w:pPr>
      <w:r>
        <w:rPr>
          <w:rFonts w:ascii="Calibri" w:hAnsi="Calibri"/>
          <w:b/>
          <w:color w:val="1E5128"/>
          <w:sz w:val="28"/>
        </w:rPr>
        <w:t>7. Dynamic Chronobiological Routine Generation (Dinacharya)</w:t>
      </w:r>
    </w:p>
    <w:p>
      <w:pPr>
        <w:spacing w:after="120"/>
      </w:pPr>
      <w:r>
        <w:t>Rather than providing static lists of tips, HealthSathi implements a dynamic scheduling algorithm that constructs an individualized 24-hour diurnal timeline based on the user's reported wake-up time, sleep time, work commitments, and exercise habits.</w:t>
      </w:r>
    </w:p>
    <w:p>
      <w:pPr>
        <w:spacing w:after="120"/>
      </w:pPr>
      <w:r>
        <w:t>The 24-hour cycle is synchronized with traditional Ayurvedic dosha cycles:</w:t>
      </w:r>
    </w:p>
    <w:p>
      <w:pPr>
        <w:pStyle w:val="ListBullet"/>
      </w:pPr>
      <w:r>
        <w:rPr>
          <w:b/>
        </w:rPr>
        <w:t>06:00 AM – 10:00 AM (Kapha Period):</w:t>
      </w:r>
      <w:r>
        <w:t xml:space="preserve"> Anabolic heaviness and stability. Optimal for vigorous movement (</w:t>
      </w:r>
      <w:r>
        <w:rPr>
          <w:i/>
        </w:rPr>
        <w:t>Vyayama</w:t>
      </w:r>
      <w:r>
        <w:t>), breathwork, and a warm breakfast (</w:t>
      </w:r>
      <w:r>
        <w:rPr>
          <w:i/>
        </w:rPr>
        <w:t>Pratarasa</w:t>
      </w:r>
      <w:r>
        <w:t>) to awaken digestive fire.</w:t>
      </w:r>
    </w:p>
    <w:p>
      <w:pPr>
        <w:pStyle w:val="ListBullet"/>
      </w:pPr>
      <w:r>
        <w:rPr>
          <w:b/>
        </w:rPr>
        <w:t>10:00 AM – 02:00 PM (Pitta Period):</w:t>
      </w:r>
      <w:r>
        <w:t xml:space="preserve"> Solar zenith and peak metabolic transformation. Reserved for complex analytical tasks and the primary substantial meal (</w:t>
      </w:r>
      <w:r>
        <w:rPr>
          <w:i/>
        </w:rPr>
        <w:t>Madhyanha Bhojana</w:t>
      </w:r>
      <w:r>
        <w:t>).</w:t>
      </w:r>
    </w:p>
    <w:p>
      <w:pPr>
        <w:pStyle w:val="ListBullet"/>
      </w:pPr>
      <w:r>
        <w:rPr>
          <w:b/>
        </w:rPr>
        <w:t>02:00 PM – 06:00 PM (Vata Period):</w:t>
      </w:r>
      <w:r>
        <w:t xml:space="preserve"> Mobility, lightness, and mental agility. Ideal for creative collaboration, outdoor sunlight exposure, and afternoon hydration pauses.</w:t>
      </w:r>
    </w:p>
    <w:p>
      <w:pPr>
        <w:pStyle w:val="ListBullet"/>
      </w:pPr>
      <w:r>
        <w:rPr>
          <w:b/>
        </w:rPr>
        <w:t>06:00 PM – 10:00 PM (Kapha Period):</w:t>
      </w:r>
      <w:r>
        <w:t xml:space="preserve"> Cooling deceleration. Prescribes light dinner (</w:t>
      </w:r>
      <w:r>
        <w:rPr>
          <w:i/>
        </w:rPr>
        <w:t>Ratri Bhojana</w:t>
      </w:r>
      <w:r>
        <w:t>), sensory detachment ("Digital Dusk"), and foot massage (</w:t>
      </w:r>
      <w:r>
        <w:rPr>
          <w:i/>
        </w:rPr>
        <w:t>Padabhyanga</w:t>
      </w:r>
      <w:r>
        <w:t>).</w:t>
      </w:r>
    </w:p>
    <w:p>
      <w:pPr>
        <w:pStyle w:val="ListBullet"/>
      </w:pPr>
      <w:r>
        <w:rPr>
          <w:b/>
        </w:rPr>
        <w:t>10:00 PM – 02:00 AM (Pitta Period):</w:t>
      </w:r>
      <w:r>
        <w:t xml:space="preserve"> Internal cellular detoxification and liver metabolism. Requires restful recumbency; staying awake provokes late-night appetite and cognitive agitation.</w:t>
      </w:r>
    </w:p>
    <w:p>
      <w:pPr>
        <w:pStyle w:val="ListBullet"/>
      </w:pPr>
      <w:r>
        <w:rPr>
          <w:b/>
        </w:rPr>
        <w:t>02:00 AM – 06:00 AM (Vata Period):</w:t>
      </w:r>
      <w:r>
        <w:t xml:space="preserve"> Subtle lightness. Culminates in </w:t>
      </w:r>
      <w:r>
        <w:rPr>
          <w:i/>
        </w:rPr>
        <w:t>Brahma Muhurta</w:t>
      </w:r>
      <w:r>
        <w:t xml:space="preserve"> (approx. 45–90 minutes before sunrise), revered for serene mental acquisition and meditation.</w:t>
      </w:r>
    </w:p>
    <w:p>
      <w:pPr>
        <w:spacing w:before="120" w:after="120"/>
      </w:pPr>
    </w:p>
    <w:p>
      <w:pPr>
        <w:spacing w:before="280" w:after="80"/>
      </w:pPr>
      <w:r>
        <w:rPr>
          <w:rFonts w:ascii="Calibri" w:hAnsi="Calibri"/>
          <w:b/>
          <w:color w:val="1E5128"/>
          <w:sz w:val="28"/>
        </w:rPr>
        <w:t>8. Dataset Description</w:t>
      </w:r>
    </w:p>
    <w:p>
      <w:pPr>
        <w:spacing w:after="120"/>
      </w:pPr>
      <w:r>
        <w:t>To rigorously evaluate the prototype, a synthetic evaluation dataset of $N=650$ records was generated with controlled statistical distributions reflecting diverse occupational cohorts (corporate desk professionals, university students, shift workers, and balanced practitioners). The dataset is explicitly designated as synthetic for prototype evaluation in accordance with ethical standards.</w:t>
      </w:r>
    </w:p>
    <w:p>
      <w:pPr>
        <w:spacing w:before="200" w:after="40"/>
      </w:pPr>
      <w:r>
        <w:rPr>
          <w:rFonts w:ascii="Calibri" w:hAnsi="Calibri"/>
          <w:b/>
          <w:color w:val="2A9D8F"/>
          <w:sz w:val="24"/>
        </w:rPr>
        <w:t>Table 1: Primary Lifestyle Dataset Features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5128"/>
          </w:tcPr>
          <w:p>
            <w:r>
              <w:rPr>
                <w:b/>
                <w:color w:val="FFFFFF"/>
              </w:rPr>
              <w:t>Category</w:t>
            </w:r>
          </w:p>
        </w:tc>
        <w:tc>
          <w:tcPr>
            <w:tcW w:type="dxa" w:w="1872"/>
            <w:shd w:fill="1E5128"/>
          </w:tcPr>
          <w:p>
            <w:r>
              <w:rPr>
                <w:b/>
                <w:color w:val="FFFFFF"/>
              </w:rPr>
              <w:t>Feature Name</w:t>
            </w:r>
          </w:p>
        </w:tc>
        <w:tc>
          <w:tcPr>
            <w:tcW w:type="dxa" w:w="1872"/>
            <w:shd w:fill="1E5128"/>
          </w:tcPr>
          <w:p>
            <w:r>
              <w:rPr>
                <w:b/>
                <w:color w:val="FFFFFF"/>
              </w:rPr>
              <w:t>Data Type</w:t>
            </w:r>
          </w:p>
        </w:tc>
        <w:tc>
          <w:tcPr>
            <w:tcW w:type="dxa" w:w="1872"/>
            <w:shd w:fill="1E5128"/>
          </w:tcPr>
          <w:p>
            <w:r>
              <w:rPr>
                <w:b/>
                <w:color w:val="FFFFFF"/>
              </w:rPr>
              <w:t>Range / Values</w:t>
            </w:r>
          </w:p>
        </w:tc>
        <w:tc>
          <w:tcPr>
            <w:tcW w:type="dxa" w:w="1872"/>
            <w:shd w:fill="1E5128"/>
          </w:tcPr>
          <w:p>
            <w:r>
              <w:rPr>
                <w:b/>
                <w:color w:val="FFFFFF"/>
              </w:rPr>
              <w:t>Example</w:t>
            </w:r>
          </w:p>
        </w:tc>
      </w:tr>
      <w:tr>
        <w:tc>
          <w:tcPr>
            <w:tcW w:type="dxa" w:w="1872"/>
            <w:shd w:fill="F8FAFC"/>
          </w:tcPr>
          <w:p>
            <w:r>
              <w:t>Demographics</w:t>
            </w:r>
          </w:p>
        </w:tc>
        <w:tc>
          <w:tcPr>
            <w:tcW w:type="dxa" w:w="1872"/>
            <w:shd w:fill="F8FAFC"/>
          </w:tcPr>
          <w:p>
            <w:r>
              <w:t>age</w:t>
            </w:r>
          </w:p>
        </w:tc>
        <w:tc>
          <w:tcPr>
            <w:tcW w:type="dxa" w:w="1872"/>
            <w:shd w:fill="F8FAFC"/>
          </w:tcPr>
          <w:p>
            <w:r>
              <w:t>Integer</w:t>
            </w:r>
          </w:p>
        </w:tc>
        <w:tc>
          <w:tcPr>
            <w:tcW w:type="dxa" w:w="1872"/>
            <w:shd w:fill="F8FAFC"/>
          </w:tcPr>
          <w:p>
            <w:r>
              <w:t>18 – 75</w:t>
            </w:r>
          </w:p>
        </w:tc>
        <w:tc>
          <w:tcPr>
            <w:tcW w:type="dxa" w:w="1872"/>
            <w:shd w:fill="F8FAFC"/>
          </w:tcPr>
          <w:p>
            <w:r>
              <w:t>28</w:t>
            </w:r>
          </w:p>
        </w:tc>
      </w:tr>
      <w:tr>
        <w:tc>
          <w:tcPr>
            <w:tcW w:type="dxa" w:w="1872"/>
            <w:shd w:fill="FFFFFF"/>
          </w:tcPr>
          <w:p>
            <w:r/>
          </w:p>
        </w:tc>
        <w:tc>
          <w:tcPr>
            <w:tcW w:type="dxa" w:w="1872"/>
            <w:shd w:fill="FFFFFF"/>
          </w:tcPr>
          <w:p>
            <w:r>
              <w:t>gender</w:t>
            </w:r>
          </w:p>
        </w:tc>
        <w:tc>
          <w:tcPr>
            <w:tcW w:type="dxa" w:w="1872"/>
            <w:shd w:fill="FFFFFF"/>
          </w:tcPr>
          <w:p>
            <w:r>
              <w:t>Categorical</w:t>
            </w:r>
          </w:p>
        </w:tc>
        <w:tc>
          <w:tcPr>
            <w:tcW w:type="dxa" w:w="1872"/>
            <w:shd w:fill="FFFFFF"/>
          </w:tcPr>
          <w:p>
            <w:r>
              <w:t>Male, Female, Other</w:t>
            </w:r>
          </w:p>
        </w:tc>
        <w:tc>
          <w:tcPr>
            <w:tcW w:type="dxa" w:w="1872"/>
            <w:shd w:fill="FFFFFF"/>
          </w:tcPr>
          <w:p>
            <w:r>
              <w:t>Female</w:t>
            </w:r>
          </w:p>
        </w:tc>
      </w:tr>
      <w:tr>
        <w:tc>
          <w:tcPr>
            <w:tcW w:type="dxa" w:w="1872"/>
            <w:shd w:fill="F8FAFC"/>
          </w:tcPr>
          <w:p>
            <w:r/>
          </w:p>
        </w:tc>
        <w:tc>
          <w:tcPr>
            <w:tcW w:type="dxa" w:w="1872"/>
            <w:shd w:fill="F8FAFC"/>
          </w:tcPr>
          <w:p>
            <w:r>
              <w:t>height_cm / weight_kg</w:t>
            </w:r>
          </w:p>
        </w:tc>
        <w:tc>
          <w:tcPr>
            <w:tcW w:type="dxa" w:w="1872"/>
            <w:shd w:fill="F8FAFC"/>
          </w:tcPr>
          <w:p>
            <w:r>
              <w:t>Float</w:t>
            </w:r>
          </w:p>
        </w:tc>
        <w:tc>
          <w:tcPr>
            <w:tcW w:type="dxa" w:w="1872"/>
            <w:shd w:fill="F8FAFC"/>
          </w:tcPr>
          <w:p>
            <w:r>
              <w:t>140–200 cm / 40–120 kg</w:t>
            </w:r>
          </w:p>
        </w:tc>
        <w:tc>
          <w:tcPr>
            <w:tcW w:type="dxa" w:w="1872"/>
            <w:shd w:fill="F8FAFC"/>
          </w:tcPr>
          <w:p>
            <w:r>
              <w:t>168 cm / 62 kg</w:t>
            </w:r>
          </w:p>
        </w:tc>
      </w:tr>
      <w:tr>
        <w:tc>
          <w:tcPr>
            <w:tcW w:type="dxa" w:w="1872"/>
            <w:shd w:fill="FFFFFF"/>
          </w:tcPr>
          <w:p>
            <w:r/>
          </w:p>
        </w:tc>
        <w:tc>
          <w:tcPr>
            <w:tcW w:type="dxa" w:w="1872"/>
            <w:shd w:fill="FFFFFF"/>
          </w:tcPr>
          <w:p>
            <w:r>
              <w:t>bmi / bmi_category</w:t>
            </w:r>
          </w:p>
        </w:tc>
        <w:tc>
          <w:tcPr>
            <w:tcW w:type="dxa" w:w="1872"/>
            <w:shd w:fill="FFFFFF"/>
          </w:tcPr>
          <w:p>
            <w:r>
              <w:t>Float / String</w:t>
            </w:r>
          </w:p>
        </w:tc>
        <w:tc>
          <w:tcPr>
            <w:tcW w:type="dxa" w:w="1872"/>
            <w:shd w:fill="FFFFFF"/>
          </w:tcPr>
          <w:p>
            <w:r>
              <w:t>16.5 – 38.0</w:t>
            </w:r>
          </w:p>
        </w:tc>
        <w:tc>
          <w:tcPr>
            <w:tcW w:type="dxa" w:w="1872"/>
            <w:shd w:fill="FFFFFF"/>
          </w:tcPr>
          <w:p>
            <w:r>
              <w:t>22.0 (Normal)</w:t>
            </w:r>
          </w:p>
        </w:tc>
      </w:tr>
      <w:tr>
        <w:tc>
          <w:tcPr>
            <w:tcW w:type="dxa" w:w="1872"/>
            <w:shd w:fill="F8FAFC"/>
          </w:tcPr>
          <w:p>
            <w:r/>
          </w:p>
        </w:tc>
        <w:tc>
          <w:tcPr>
            <w:tcW w:type="dxa" w:w="1872"/>
            <w:shd w:fill="F8FAFC"/>
          </w:tcPr>
          <w:p>
            <w:r>
              <w:t>occupation</w:t>
            </w:r>
          </w:p>
        </w:tc>
        <w:tc>
          <w:tcPr>
            <w:tcW w:type="dxa" w:w="1872"/>
            <w:shd w:fill="F8FAFC"/>
          </w:tcPr>
          <w:p>
            <w:r>
              <w:t>Categorical</w:t>
            </w:r>
          </w:p>
        </w:tc>
        <w:tc>
          <w:tcPr>
            <w:tcW w:type="dxa" w:w="1872"/>
            <w:shd w:fill="F8FAFC"/>
          </w:tcPr>
          <w:p>
            <w:r>
              <w:t>7 Occupational Classes</w:t>
            </w:r>
          </w:p>
        </w:tc>
        <w:tc>
          <w:tcPr>
            <w:tcW w:type="dxa" w:w="1872"/>
            <w:shd w:fill="F8FAFC"/>
          </w:tcPr>
          <w:p>
            <w:r>
              <w:t>Working Professional</w:t>
            </w:r>
          </w:p>
        </w:tc>
      </w:tr>
      <w:tr>
        <w:tc>
          <w:tcPr>
            <w:tcW w:type="dxa" w:w="1872"/>
            <w:shd w:fill="FFFFFF"/>
          </w:tcPr>
          <w:p>
            <w:r>
              <w:t>Sleep</w:t>
            </w:r>
          </w:p>
        </w:tc>
        <w:tc>
          <w:tcPr>
            <w:tcW w:type="dxa" w:w="1872"/>
            <w:shd w:fill="FFFFFF"/>
          </w:tcPr>
          <w:p>
            <w:r>
              <w:t>sleep_duration_hrs</w:t>
            </w:r>
          </w:p>
        </w:tc>
        <w:tc>
          <w:tcPr>
            <w:tcW w:type="dxa" w:w="1872"/>
            <w:shd w:fill="FFFFFF"/>
          </w:tcPr>
          <w:p>
            <w:r>
              <w:t>Float</w:t>
            </w:r>
          </w:p>
        </w:tc>
        <w:tc>
          <w:tcPr>
            <w:tcW w:type="dxa" w:w="1872"/>
            <w:shd w:fill="FFFFFF"/>
          </w:tcPr>
          <w:p>
            <w:r>
              <w:t>3.5 – 10.0 hrs</w:t>
            </w:r>
          </w:p>
        </w:tc>
        <w:tc>
          <w:tcPr>
            <w:tcW w:type="dxa" w:w="1872"/>
            <w:shd w:fill="FFFFFF"/>
          </w:tcPr>
          <w:p>
            <w:r>
              <w:t>6.5 hrs</w:t>
            </w:r>
          </w:p>
        </w:tc>
      </w:tr>
      <w:tr>
        <w:tc>
          <w:tcPr>
            <w:tcW w:type="dxa" w:w="1872"/>
            <w:shd w:fill="F8FAFC"/>
          </w:tcPr>
          <w:p>
            <w:r/>
          </w:p>
        </w:tc>
        <w:tc>
          <w:tcPr>
            <w:tcW w:type="dxa" w:w="1872"/>
            <w:shd w:fill="F8FAFC"/>
          </w:tcPr>
          <w:p>
            <w:r>
              <w:t>sleep_time_str</w:t>
            </w:r>
          </w:p>
        </w:tc>
        <w:tc>
          <w:tcPr>
            <w:tcW w:type="dxa" w:w="1872"/>
            <w:shd w:fill="F8FAFC"/>
          </w:tcPr>
          <w:p>
            <w:r>
              <w:t>String (Time)</w:t>
            </w:r>
          </w:p>
        </w:tc>
        <w:tc>
          <w:tcPr>
            <w:tcW w:type="dxa" w:w="1872"/>
            <w:shd w:fill="F8FAFC"/>
          </w:tcPr>
          <w:p>
            <w:r>
              <w:t>09:00 PM – 03:00 AM</w:t>
            </w:r>
          </w:p>
        </w:tc>
        <w:tc>
          <w:tcPr>
            <w:tcW w:type="dxa" w:w="1872"/>
            <w:shd w:fill="F8FAFC"/>
          </w:tcPr>
          <w:p>
            <w:r>
              <w:t>11:30 PM</w:t>
            </w:r>
          </w:p>
        </w:tc>
      </w:tr>
      <w:tr>
        <w:tc>
          <w:tcPr>
            <w:tcW w:type="dxa" w:w="1872"/>
            <w:shd w:fill="FFFFFF"/>
          </w:tcPr>
          <w:p>
            <w:r/>
          </w:p>
        </w:tc>
        <w:tc>
          <w:tcPr>
            <w:tcW w:type="dxa" w:w="1872"/>
            <w:shd w:fill="FFFFFF"/>
          </w:tcPr>
          <w:p>
            <w:r>
              <w:t>wake_up_time_str</w:t>
            </w:r>
          </w:p>
        </w:tc>
        <w:tc>
          <w:tcPr>
            <w:tcW w:type="dxa" w:w="1872"/>
            <w:shd w:fill="FFFFFF"/>
          </w:tcPr>
          <w:p>
            <w:r>
              <w:t>String (Time)</w:t>
            </w:r>
          </w:p>
        </w:tc>
        <w:tc>
          <w:tcPr>
            <w:tcW w:type="dxa" w:w="1872"/>
            <w:shd w:fill="FFFFFF"/>
          </w:tcPr>
          <w:p>
            <w:r>
              <w:t>04:30 AM – 10:00 AM</w:t>
            </w:r>
          </w:p>
        </w:tc>
        <w:tc>
          <w:tcPr>
            <w:tcW w:type="dxa" w:w="1872"/>
            <w:shd w:fill="FFFFFF"/>
          </w:tcPr>
          <w:p>
            <w:r>
              <w:t>06:30 AM</w:t>
            </w:r>
          </w:p>
        </w:tc>
      </w:tr>
      <w:tr>
        <w:tc>
          <w:tcPr>
            <w:tcW w:type="dxa" w:w="1872"/>
            <w:shd w:fill="F8FAFC"/>
          </w:tcPr>
          <w:p>
            <w:r/>
          </w:p>
        </w:tc>
        <w:tc>
          <w:tcPr>
            <w:tcW w:type="dxa" w:w="1872"/>
            <w:shd w:fill="F8FAFC"/>
          </w:tcPr>
          <w:p>
            <w:r>
              <w:t>sleep_quality</w:t>
            </w:r>
          </w:p>
        </w:tc>
        <w:tc>
          <w:tcPr>
            <w:tcW w:type="dxa" w:w="1872"/>
            <w:shd w:fill="F8FAFC"/>
          </w:tcPr>
          <w:p>
            <w:r>
              <w:t>Categorical</w:t>
            </w:r>
          </w:p>
        </w:tc>
        <w:tc>
          <w:tcPr>
            <w:tcW w:type="dxa" w:w="1872"/>
            <w:shd w:fill="F8FAFC"/>
          </w:tcPr>
          <w:p>
            <w:r>
              <w:t>Poor, Moderate, Good</w:t>
            </w:r>
          </w:p>
        </w:tc>
        <w:tc>
          <w:tcPr>
            <w:tcW w:type="dxa" w:w="1872"/>
            <w:shd w:fill="F8FAFC"/>
          </w:tcPr>
          <w:p>
            <w:r>
              <w:t>Good</w:t>
            </w:r>
          </w:p>
        </w:tc>
      </w:tr>
      <w:tr>
        <w:tc>
          <w:tcPr>
            <w:tcW w:type="dxa" w:w="1872"/>
            <w:shd w:fill="FFFFFF"/>
          </w:tcPr>
          <w:p>
            <w:r>
              <w:t>Daily Routine</w:t>
            </w:r>
          </w:p>
        </w:tc>
        <w:tc>
          <w:tcPr>
            <w:tcW w:type="dxa" w:w="1872"/>
            <w:shd w:fill="FFFFFF"/>
          </w:tcPr>
          <w:p>
            <w:r>
              <w:t>work_study_hrs</w:t>
            </w:r>
          </w:p>
        </w:tc>
        <w:tc>
          <w:tcPr>
            <w:tcW w:type="dxa" w:w="1872"/>
            <w:shd w:fill="FFFFFF"/>
          </w:tcPr>
          <w:p>
            <w:r>
              <w:t>Float</w:t>
            </w:r>
          </w:p>
        </w:tc>
        <w:tc>
          <w:tcPr>
            <w:tcW w:type="dxa" w:w="1872"/>
            <w:shd w:fill="FFFFFF"/>
          </w:tcPr>
          <w:p>
            <w:r>
              <w:t>2.0 – 14.0 hrs</w:t>
            </w:r>
          </w:p>
        </w:tc>
        <w:tc>
          <w:tcPr>
            <w:tcW w:type="dxa" w:w="1872"/>
            <w:shd w:fill="FFFFFF"/>
          </w:tcPr>
          <w:p>
            <w:r>
              <w:t>8.5 hrs</w:t>
            </w:r>
          </w:p>
        </w:tc>
      </w:tr>
      <w:tr>
        <w:tc>
          <w:tcPr>
            <w:tcW w:type="dxa" w:w="1872"/>
            <w:shd w:fill="F8FAFC"/>
          </w:tcPr>
          <w:p>
            <w:r/>
          </w:p>
        </w:tc>
        <w:tc>
          <w:tcPr>
            <w:tcW w:type="dxa" w:w="1872"/>
            <w:shd w:fill="F8FAFC"/>
          </w:tcPr>
          <w:p>
            <w:r>
              <w:t>screen_time_hrs</w:t>
            </w:r>
          </w:p>
        </w:tc>
        <w:tc>
          <w:tcPr>
            <w:tcW w:type="dxa" w:w="1872"/>
            <w:shd w:fill="F8FAFC"/>
          </w:tcPr>
          <w:p>
            <w:r>
              <w:t>Float</w:t>
            </w:r>
          </w:p>
        </w:tc>
        <w:tc>
          <w:tcPr>
            <w:tcW w:type="dxa" w:w="1872"/>
            <w:shd w:fill="F8FAFC"/>
          </w:tcPr>
          <w:p>
            <w:r>
              <w:t>1.0 – 14.0 hrs</w:t>
            </w:r>
          </w:p>
        </w:tc>
        <w:tc>
          <w:tcPr>
            <w:tcW w:type="dxa" w:w="1872"/>
            <w:shd w:fill="F8FAFC"/>
          </w:tcPr>
          <w:p>
            <w:r>
              <w:t>7.0 hrs</w:t>
            </w:r>
          </w:p>
        </w:tc>
      </w:tr>
      <w:tr>
        <w:tc>
          <w:tcPr>
            <w:tcW w:type="dxa" w:w="1872"/>
            <w:shd w:fill="FFFFFF"/>
          </w:tcPr>
          <w:p>
            <w:r/>
          </w:p>
        </w:tc>
        <w:tc>
          <w:tcPr>
            <w:tcW w:type="dxa" w:w="1872"/>
            <w:shd w:fill="FFFFFF"/>
          </w:tcPr>
          <w:p>
            <w:r>
              <w:t>physical_activity_min</w:t>
            </w:r>
          </w:p>
        </w:tc>
        <w:tc>
          <w:tcPr>
            <w:tcW w:type="dxa" w:w="1872"/>
            <w:shd w:fill="FFFFFF"/>
          </w:tcPr>
          <w:p>
            <w:r>
              <w:t>Float</w:t>
            </w:r>
          </w:p>
        </w:tc>
        <w:tc>
          <w:tcPr>
            <w:tcW w:type="dxa" w:w="1872"/>
            <w:shd w:fill="FFFFFF"/>
          </w:tcPr>
          <w:p>
            <w:r>
              <w:t>0 – 120 min</w:t>
            </w:r>
          </w:p>
        </w:tc>
        <w:tc>
          <w:tcPr>
            <w:tcW w:type="dxa" w:w="1872"/>
            <w:shd w:fill="FFFFFF"/>
          </w:tcPr>
          <w:p>
            <w:r>
              <w:t>30 min</w:t>
            </w:r>
          </w:p>
        </w:tc>
      </w:tr>
      <w:tr>
        <w:tc>
          <w:tcPr>
            <w:tcW w:type="dxa" w:w="1872"/>
            <w:shd w:fill="F8FAFC"/>
          </w:tcPr>
          <w:p>
            <w:r/>
          </w:p>
        </w:tc>
        <w:tc>
          <w:tcPr>
            <w:tcW w:type="dxa" w:w="1872"/>
            <w:shd w:fill="F8FAFC"/>
          </w:tcPr>
          <w:p>
            <w:r>
              <w:t>water_intake_liters</w:t>
            </w:r>
          </w:p>
        </w:tc>
        <w:tc>
          <w:tcPr>
            <w:tcW w:type="dxa" w:w="1872"/>
            <w:shd w:fill="F8FAFC"/>
          </w:tcPr>
          <w:p>
            <w:r>
              <w:t>Float</w:t>
            </w:r>
          </w:p>
        </w:tc>
        <w:tc>
          <w:tcPr>
            <w:tcW w:type="dxa" w:w="1872"/>
            <w:shd w:fill="F8FAFC"/>
          </w:tcPr>
          <w:p>
            <w:r>
              <w:t>0.8 – 5.0 L</w:t>
            </w:r>
          </w:p>
        </w:tc>
        <w:tc>
          <w:tcPr>
            <w:tcW w:type="dxa" w:w="1872"/>
            <w:shd w:fill="F8FAFC"/>
          </w:tcPr>
          <w:p>
            <w:r>
              <w:t>2.2 L</w:t>
            </w:r>
          </w:p>
        </w:tc>
      </w:tr>
      <w:tr>
        <w:tc>
          <w:tcPr>
            <w:tcW w:type="dxa" w:w="1872"/>
            <w:shd w:fill="FFFFFF"/>
          </w:tcPr>
          <w:p>
            <w:r/>
          </w:p>
        </w:tc>
        <w:tc>
          <w:tcPr>
            <w:tcW w:type="dxa" w:w="1872"/>
            <w:shd w:fill="FFFFFF"/>
          </w:tcPr>
          <w:p>
            <w:r>
              <w:t>meal_regularity</w:t>
            </w:r>
          </w:p>
        </w:tc>
        <w:tc>
          <w:tcPr>
            <w:tcW w:type="dxa" w:w="1872"/>
            <w:shd w:fill="FFFFFF"/>
          </w:tcPr>
          <w:p>
            <w:r>
              <w:t>Categorical</w:t>
            </w:r>
          </w:p>
        </w:tc>
        <w:tc>
          <w:tcPr>
            <w:tcW w:type="dxa" w:w="1872"/>
            <w:shd w:fill="FFFFFF"/>
          </w:tcPr>
          <w:p>
            <w:r>
              <w:t>Regular, Irregular</w:t>
            </w:r>
          </w:p>
        </w:tc>
        <w:tc>
          <w:tcPr>
            <w:tcW w:type="dxa" w:w="1872"/>
            <w:shd w:fill="FFFFFF"/>
          </w:tcPr>
          <w:p>
            <w:r>
              <w:t>Regular</w:t>
            </w:r>
          </w:p>
        </w:tc>
      </w:tr>
      <w:tr>
        <w:tc>
          <w:tcPr>
            <w:tcW w:type="dxa" w:w="1872"/>
            <w:shd w:fill="F8FAFC"/>
          </w:tcPr>
          <w:p>
            <w:r/>
          </w:p>
        </w:tc>
        <w:tc>
          <w:tcPr>
            <w:tcW w:type="dxa" w:w="1872"/>
            <w:shd w:fill="F8FAFC"/>
          </w:tcPr>
          <w:p>
            <w:r>
              <w:t>outdoor_time_min</w:t>
            </w:r>
          </w:p>
        </w:tc>
        <w:tc>
          <w:tcPr>
            <w:tcW w:type="dxa" w:w="1872"/>
            <w:shd w:fill="F8FAFC"/>
          </w:tcPr>
          <w:p>
            <w:r>
              <w:t>Float</w:t>
            </w:r>
          </w:p>
        </w:tc>
        <w:tc>
          <w:tcPr>
            <w:tcW w:type="dxa" w:w="1872"/>
            <w:shd w:fill="F8FAFC"/>
          </w:tcPr>
          <w:p>
            <w:r>
              <w:t>0 – 90 min</w:t>
            </w:r>
          </w:p>
        </w:tc>
        <w:tc>
          <w:tcPr>
            <w:tcW w:type="dxa" w:w="1872"/>
            <w:shd w:fill="F8FAFC"/>
          </w:tcPr>
          <w:p>
            <w:r>
              <w:t>30 min</w:t>
            </w:r>
          </w:p>
        </w:tc>
      </w:tr>
      <w:tr>
        <w:tc>
          <w:tcPr>
            <w:tcW w:type="dxa" w:w="1872"/>
            <w:shd w:fill="FFFFFF"/>
          </w:tcPr>
          <w:p>
            <w:r>
              <w:t>Mental</w:t>
            </w:r>
          </w:p>
        </w:tc>
        <w:tc>
          <w:tcPr>
            <w:tcW w:type="dxa" w:w="1872"/>
            <w:shd w:fill="FFFFFF"/>
          </w:tcPr>
          <w:p>
            <w:r>
              <w:t>stress_level</w:t>
            </w:r>
          </w:p>
        </w:tc>
        <w:tc>
          <w:tcPr>
            <w:tcW w:type="dxa" w:w="1872"/>
            <w:shd w:fill="FFFFFF"/>
          </w:tcPr>
          <w:p>
            <w:r>
              <w:t>Integer</w:t>
            </w:r>
          </w:p>
        </w:tc>
        <w:tc>
          <w:tcPr>
            <w:tcW w:type="dxa" w:w="1872"/>
            <w:shd w:fill="FFFFFF"/>
          </w:tcPr>
          <w:p>
            <w:r>
              <w:t>1 – 10</w:t>
            </w:r>
          </w:p>
        </w:tc>
        <w:tc>
          <w:tcPr>
            <w:tcW w:type="dxa" w:w="1872"/>
            <w:shd w:fill="FFFFFF"/>
          </w:tcPr>
          <w:p>
            <w:r>
              <w:t>6</w:t>
            </w:r>
          </w:p>
        </w:tc>
      </w:tr>
      <w:tr>
        <w:tc>
          <w:tcPr>
            <w:tcW w:type="dxa" w:w="1872"/>
            <w:shd w:fill="F8FAFC"/>
          </w:tcPr>
          <w:p>
            <w:r/>
          </w:p>
        </w:tc>
        <w:tc>
          <w:tcPr>
            <w:tcW w:type="dxa" w:w="1872"/>
            <w:shd w:fill="F8FAFC"/>
          </w:tcPr>
          <w:p>
            <w:r>
              <w:t>mood</w:t>
            </w:r>
          </w:p>
        </w:tc>
        <w:tc>
          <w:tcPr>
            <w:tcW w:type="dxa" w:w="1872"/>
            <w:shd w:fill="F8FAFC"/>
          </w:tcPr>
          <w:p>
            <w:r>
              <w:t>Categorical</w:t>
            </w:r>
          </w:p>
        </w:tc>
        <w:tc>
          <w:tcPr>
            <w:tcW w:type="dxa" w:w="1872"/>
            <w:shd w:fill="F8FAFC"/>
          </w:tcPr>
          <w:p>
            <w:r>
              <w:t>Low, Neutral, Good</w:t>
            </w:r>
          </w:p>
        </w:tc>
        <w:tc>
          <w:tcPr>
            <w:tcW w:type="dxa" w:w="1872"/>
            <w:shd w:fill="F8FAFC"/>
          </w:tcPr>
          <w:p>
            <w:r>
              <w:t>Good</w:t>
            </w:r>
          </w:p>
        </w:tc>
      </w:tr>
      <w:tr>
        <w:tc>
          <w:tcPr>
            <w:tcW w:type="dxa" w:w="1872"/>
            <w:shd w:fill="FFFFFF"/>
          </w:tcPr>
          <w:p>
            <w:r/>
          </w:p>
        </w:tc>
        <w:tc>
          <w:tcPr>
            <w:tcW w:type="dxa" w:w="1872"/>
            <w:shd w:fill="FFFFFF"/>
          </w:tcPr>
          <w:p>
            <w:r>
              <w:t>relaxation_activity</w:t>
            </w:r>
          </w:p>
        </w:tc>
        <w:tc>
          <w:tcPr>
            <w:tcW w:type="dxa" w:w="1872"/>
            <w:shd w:fill="FFFFFF"/>
          </w:tcPr>
          <w:p>
            <w:r>
              <w:t>Boolean</w:t>
            </w:r>
          </w:p>
        </w:tc>
        <w:tc>
          <w:tcPr>
            <w:tcW w:type="dxa" w:w="1872"/>
            <w:shd w:fill="FFFFFF"/>
          </w:tcPr>
          <w:p>
            <w:r>
              <w:t>True, False</w:t>
            </w:r>
          </w:p>
        </w:tc>
        <w:tc>
          <w:tcPr>
            <w:tcW w:type="dxa" w:w="1872"/>
            <w:shd w:fill="FFFFFF"/>
          </w:tcPr>
          <w:p>
            <w:r>
              <w:t>True</w:t>
            </w:r>
          </w:p>
        </w:tc>
      </w:tr>
      <w:tr>
        <w:tc>
          <w:tcPr>
            <w:tcW w:type="dxa" w:w="1872"/>
            <w:shd w:fill="F8FAFC"/>
          </w:tcPr>
          <w:p>
            <w:r>
              <w:t>Diet/Lifestyle</w:t>
            </w:r>
          </w:p>
        </w:tc>
        <w:tc>
          <w:tcPr>
            <w:tcW w:type="dxa" w:w="1872"/>
            <w:shd w:fill="F8FAFC"/>
          </w:tcPr>
          <w:p>
            <w:r>
              <w:t>breakfast_regular</w:t>
            </w:r>
          </w:p>
        </w:tc>
        <w:tc>
          <w:tcPr>
            <w:tcW w:type="dxa" w:w="1872"/>
            <w:shd w:fill="F8FAFC"/>
          </w:tcPr>
          <w:p>
            <w:r>
              <w:t>Boolean</w:t>
            </w:r>
          </w:p>
        </w:tc>
        <w:tc>
          <w:tcPr>
            <w:tcW w:type="dxa" w:w="1872"/>
            <w:shd w:fill="F8FAFC"/>
          </w:tcPr>
          <w:p>
            <w:r>
              <w:t>True, False</w:t>
            </w:r>
          </w:p>
        </w:tc>
        <w:tc>
          <w:tcPr>
            <w:tcW w:type="dxa" w:w="1872"/>
            <w:shd w:fill="F8FAFC"/>
          </w:tcPr>
          <w:p>
            <w:r>
              <w:t>True</w:t>
            </w:r>
          </w:p>
        </w:tc>
      </w:tr>
      <w:tr>
        <w:tc>
          <w:tcPr>
            <w:tcW w:type="dxa" w:w="1872"/>
            <w:shd w:fill="FFFFFF"/>
          </w:tcPr>
          <w:p>
            <w:r/>
          </w:p>
        </w:tc>
        <w:tc>
          <w:tcPr>
            <w:tcW w:type="dxa" w:w="1872"/>
            <w:shd w:fill="FFFFFF"/>
          </w:tcPr>
          <w:p>
            <w:r>
              <w:t>fruit_veg_intake</w:t>
            </w:r>
          </w:p>
        </w:tc>
        <w:tc>
          <w:tcPr>
            <w:tcW w:type="dxa" w:w="1872"/>
            <w:shd w:fill="FFFFFF"/>
          </w:tcPr>
          <w:p>
            <w:r>
              <w:t>Categorical</w:t>
            </w:r>
          </w:p>
        </w:tc>
        <w:tc>
          <w:tcPr>
            <w:tcW w:type="dxa" w:w="1872"/>
            <w:shd w:fill="FFFFFF"/>
          </w:tcPr>
          <w:p>
            <w:r>
              <w:t>Low, Medium, High</w:t>
            </w:r>
          </w:p>
        </w:tc>
        <w:tc>
          <w:tcPr>
            <w:tcW w:type="dxa" w:w="1872"/>
            <w:shd w:fill="FFFFFF"/>
          </w:tcPr>
          <w:p>
            <w:r>
              <w:t>Medium</w:t>
            </w:r>
          </w:p>
        </w:tc>
      </w:tr>
      <w:tr>
        <w:tc>
          <w:tcPr>
            <w:tcW w:type="dxa" w:w="1872"/>
            <w:shd w:fill="F8FAFC"/>
          </w:tcPr>
          <w:p>
            <w:r/>
          </w:p>
        </w:tc>
        <w:tc>
          <w:tcPr>
            <w:tcW w:type="dxa" w:w="1872"/>
            <w:shd w:fill="F8FAFC"/>
          </w:tcPr>
          <w:p>
            <w:r>
              <w:t>processed_food_freq</w:t>
            </w:r>
          </w:p>
        </w:tc>
        <w:tc>
          <w:tcPr>
            <w:tcW w:type="dxa" w:w="1872"/>
            <w:shd w:fill="F8FAFC"/>
          </w:tcPr>
          <w:p>
            <w:r>
              <w:t>Categorical</w:t>
            </w:r>
          </w:p>
        </w:tc>
        <w:tc>
          <w:tcPr>
            <w:tcW w:type="dxa" w:w="1872"/>
            <w:shd w:fill="F8FAFC"/>
          </w:tcPr>
          <w:p>
            <w:r>
              <w:t>Low, Medium, High</w:t>
            </w:r>
          </w:p>
        </w:tc>
        <w:tc>
          <w:tcPr>
            <w:tcW w:type="dxa" w:w="1872"/>
            <w:shd w:fill="F8FAFC"/>
          </w:tcPr>
          <w:p>
            <w:r>
              <w:t>Low</w:t>
            </w:r>
          </w:p>
        </w:tc>
      </w:tr>
      <w:tr>
        <w:tc>
          <w:tcPr>
            <w:tcW w:type="dxa" w:w="1872"/>
            <w:shd w:fill="FFFFFF"/>
          </w:tcPr>
          <w:p>
            <w:r/>
          </w:p>
        </w:tc>
        <w:tc>
          <w:tcPr>
            <w:tcW w:type="dxa" w:w="1872"/>
            <w:shd w:fill="FFFFFF"/>
          </w:tcPr>
          <w:p>
            <w:r>
              <w:t>caffeine_freq</w:t>
            </w:r>
          </w:p>
        </w:tc>
        <w:tc>
          <w:tcPr>
            <w:tcW w:type="dxa" w:w="1872"/>
            <w:shd w:fill="FFFFFF"/>
          </w:tcPr>
          <w:p>
            <w:r>
              <w:t>Categorical</w:t>
            </w:r>
          </w:p>
        </w:tc>
        <w:tc>
          <w:tcPr>
            <w:tcW w:type="dxa" w:w="1872"/>
            <w:shd w:fill="FFFFFF"/>
          </w:tcPr>
          <w:p>
            <w:r>
              <w:t>Low, Medium, High</w:t>
            </w:r>
          </w:p>
        </w:tc>
        <w:tc>
          <w:tcPr>
            <w:tcW w:type="dxa" w:w="1872"/>
            <w:shd w:fill="FFFFFF"/>
          </w:tcPr>
          <w:p>
            <w:r>
              <w:t>Medium</w:t>
            </w:r>
          </w:p>
        </w:tc>
      </w:tr>
      <w:tr>
        <w:tc>
          <w:tcPr>
            <w:tcW w:type="dxa" w:w="1872"/>
            <w:shd w:fill="F8FAFC"/>
          </w:tcPr>
          <w:p>
            <w:r/>
          </w:p>
        </w:tc>
        <w:tc>
          <w:tcPr>
            <w:tcW w:type="dxa" w:w="1872"/>
            <w:shd w:fill="F8FAFC"/>
          </w:tcPr>
          <w:p>
            <w:r>
              <w:t>meal_timing_consistency</w:t>
            </w:r>
          </w:p>
        </w:tc>
        <w:tc>
          <w:tcPr>
            <w:tcW w:type="dxa" w:w="1872"/>
            <w:shd w:fill="F8FAFC"/>
          </w:tcPr>
          <w:p>
            <w:r>
              <w:t>Categorical</w:t>
            </w:r>
          </w:p>
        </w:tc>
        <w:tc>
          <w:tcPr>
            <w:tcW w:type="dxa" w:w="1872"/>
            <w:shd w:fill="F8FAFC"/>
          </w:tcPr>
          <w:p>
            <w:r>
              <w:t>Regular, Irregular</w:t>
            </w:r>
          </w:p>
        </w:tc>
        <w:tc>
          <w:tcPr>
            <w:tcW w:type="dxa" w:w="1872"/>
            <w:shd w:fill="F8FAFC"/>
          </w:tcPr>
          <w:p>
            <w:r>
              <w:t>Regular</w:t>
            </w:r>
          </w:p>
        </w:tc>
      </w:tr>
      <w:tr>
        <w:tc>
          <w:tcPr>
            <w:tcW w:type="dxa" w:w="1872"/>
            <w:shd w:fill="FFFFFF"/>
          </w:tcPr>
          <w:p>
            <w:r>
              <w:t>Health Context</w:t>
            </w:r>
          </w:p>
        </w:tc>
        <w:tc>
          <w:tcPr>
            <w:tcW w:type="dxa" w:w="1872"/>
            <w:shd w:fill="FFFFFF"/>
          </w:tcPr>
          <w:p>
            <w:r>
              <w:t>health_conditions</w:t>
            </w:r>
          </w:p>
        </w:tc>
        <w:tc>
          <w:tcPr>
            <w:tcW w:type="dxa" w:w="1872"/>
            <w:shd w:fill="FFFFFF"/>
          </w:tcPr>
          <w:p>
            <w:r>
              <w:t>Multi-Select</w:t>
            </w:r>
          </w:p>
        </w:tc>
        <w:tc>
          <w:tcPr>
            <w:tcW w:type="dxa" w:w="1872"/>
            <w:shd w:fill="FFFFFF"/>
          </w:tcPr>
          <w:p>
            <w:r>
              <w:t>12 Options (Self-Reported)</w:t>
            </w:r>
          </w:p>
        </w:tc>
        <w:tc>
          <w:tcPr>
            <w:tcW w:type="dxa" w:w="1872"/>
            <w:shd w:fill="FFFFFF"/>
          </w:tcPr>
          <w:p>
            <w:r>
              <w:t>None</w:t>
            </w:r>
          </w:p>
        </w:tc>
      </w:tr>
    </w:tbl>
    <w:p/>
    <w:p>
      <w:pPr>
        <w:spacing w:before="120" w:after="120"/>
      </w:pPr>
    </w:p>
    <w:p>
      <w:pPr>
        <w:spacing w:before="280" w:after="80"/>
      </w:pPr>
      <w:r>
        <w:rPr>
          <w:rFonts w:ascii="Calibri" w:hAnsi="Calibri"/>
          <w:b/>
          <w:color w:val="1E5128"/>
          <w:sz w:val="28"/>
        </w:rPr>
        <w:t>9. Empirical Results &amp; Prototype Evaluation</w:t>
      </w:r>
    </w:p>
    <w:p>
      <w:pPr>
        <w:spacing w:after="120"/>
      </w:pPr>
      <w:r>
        <w:t>Statistical analysis of the 650-sample evaluation cohort confirmed the mathematical stability and discriminative power of the scoring engine.</w:t>
      </w:r>
    </w:p>
    <w:p>
      <w:pPr>
        <w:spacing w:before="200" w:after="40"/>
      </w:pPr>
      <w:r>
        <w:rPr>
          <w:rFonts w:ascii="Calibri" w:hAnsi="Calibri"/>
          <w:b/>
          <w:color w:val="2A9D8F"/>
          <w:sz w:val="24"/>
        </w:rPr>
        <w:t>9.1 Score Distributions</w:t>
      </w:r>
    </w:p>
    <w:p>
      <w:pPr>
        <w:pStyle w:val="ListBullet"/>
      </w:pPr>
      <w:r>
        <w:rPr>
          <w:b/>
        </w:rPr>
        <w:t>Cohort Mean Lifestyle Wellness Score:</w:t>
      </w:r>
      <w:r>
        <w:t xml:space="preserve"> $68.15 \pm 16.49$ (Median: $68.20$, IQR: $54.40 - 84.20$).</w:t>
      </w:r>
    </w:p>
    <w:p>
      <w:pPr>
        <w:pStyle w:val="ListBullet"/>
      </w:pPr>
      <w:r>
        <w:rPr>
          <w:b/>
        </w:rPr>
        <w:t>Category Proportions:</w:t>
      </w:r>
    </w:p>
    <w:p>
      <w:pPr>
        <w:pStyle w:val="ListBullet"/>
      </w:pPr>
      <w:r>
        <w:rPr>
          <w:i/>
        </w:rPr>
        <w:t>Excellent (Svastha):</w:t>
      </w:r>
      <w:r>
        <w:t xml:space="preserve"> 23.2%</w:t>
      </w:r>
    </w:p>
    <w:p>
      <w:pPr>
        <w:pStyle w:val="ListBullet"/>
      </w:pPr>
      <w:r>
        <w:rPr>
          <w:i/>
        </w:rPr>
        <w:t>Good (Prasanna):</w:t>
      </w:r>
      <w:r>
        <w:t xml:space="preserve"> 22.6%</w:t>
      </w:r>
    </w:p>
    <w:p>
      <w:pPr>
        <w:pStyle w:val="ListBullet"/>
      </w:pPr>
      <w:r>
        <w:rPr>
          <w:i/>
        </w:rPr>
        <w:t>Moderate (Madhyama):</w:t>
      </w:r>
      <w:r>
        <w:t xml:space="preserve"> 28.3%</w:t>
      </w:r>
    </w:p>
    <w:p>
      <w:pPr>
        <w:pStyle w:val="ListBullet"/>
      </w:pPr>
      <w:r>
        <w:rPr>
          <w:i/>
        </w:rPr>
        <w:t>Needs Attention (Hina Vihara):</w:t>
      </w:r>
      <w:r>
        <w:t xml:space="preserve"> 25.8%</w:t>
      </w:r>
    </w:p>
    <w:p>
      <w:pPr>
        <w:spacing w:before="200" w:after="40"/>
      </w:pPr>
      <w:r>
        <w:rPr>
          <w:rFonts w:ascii="Calibri" w:hAnsi="Calibri"/>
          <w:b/>
          <w:color w:val="2A9D8F"/>
          <w:sz w:val="24"/>
        </w:rPr>
        <w:t>9.2 Correlation Analysis</w:t>
      </w:r>
    </w:p>
    <w:p>
      <w:pPr>
        <w:spacing w:after="120"/>
      </w:pPr>
      <w:r>
        <w:t>Bivariate Pearson correlation analysis between individual lifestyle parameters and the composite Lifestyle Wellness Score revealed robust expected alignments:</w:t>
      </w:r>
    </w:p>
    <w:p>
      <w:pPr>
        <w:pStyle w:val="ListBullet"/>
      </w:pPr>
      <w:r>
        <w:rPr>
          <w:b/>
        </w:rPr>
        <w:t>Stress Level:</w:t>
      </w:r>
      <w:r>
        <w:t xml:space="preserve"> $r = -0.788$ ($p &lt; 0.001$) — Strongest negative predictor, highlighting that chronic stress severely depresses holistic lifestyle balance.</w:t>
      </w:r>
    </w:p>
    <w:p>
      <w:pPr>
        <w:pStyle w:val="ListBullet"/>
      </w:pPr>
      <w:r>
        <w:rPr>
          <w:b/>
        </w:rPr>
        <w:t>Physical Activity:</w:t>
      </w:r>
      <w:r>
        <w:t xml:space="preserve"> $r = 0.724$ ($p &lt; 0.001$) — Strong positive driver promoting physiological stamina and metabolic resilience.</w:t>
      </w:r>
    </w:p>
    <w:p>
      <w:pPr>
        <w:pStyle w:val="ListBullet"/>
      </w:pPr>
      <w:r>
        <w:rPr>
          <w:b/>
        </w:rPr>
        <w:t>Screen Time Exposure:</w:t>
      </w:r>
      <w:r>
        <w:t xml:space="preserve"> $r = -0.691$ ($p &lt; 0.001$) — Marked negative correlation with routine consistency and sleep hygiene.</w:t>
      </w:r>
    </w:p>
    <w:p>
      <w:pPr>
        <w:pStyle w:val="ListBullet"/>
      </w:pPr>
      <w:r>
        <w:rPr>
          <w:b/>
        </w:rPr>
        <w:t>Sleep Duration:</w:t>
      </w:r>
      <w:r>
        <w:t xml:space="preserve"> $r = 0.676$ ($p &lt; 0.001$) — Foundation for energy equilibrium.</w:t>
      </w:r>
    </w:p>
    <w:p>
      <w:pPr>
        <w:spacing w:before="200" w:after="40"/>
      </w:pPr>
      <w:r>
        <w:rPr>
          <w:rFonts w:ascii="Calibri" w:hAnsi="Calibri"/>
          <w:b/>
          <w:color w:val="2A9D8F"/>
          <w:sz w:val="24"/>
        </w:rPr>
        <w:t>9.3 Machine Learning Cluster Archetypes</w:t>
      </w:r>
    </w:p>
    <w:p>
      <w:pPr>
        <w:spacing w:after="120"/>
      </w:pPr>
      <w:r>
        <w:t>Unsupervised K-Means clustering ($K=4$) identified distinct behavioral archetypes within the population:</w:t>
      </w:r>
    </w:p>
    <w:p>
      <w:pPr>
        <w:pStyle w:val="ListNumber"/>
      </w:pPr>
      <w:r>
        <w:rPr>
          <w:b/>
        </w:rPr>
        <w:t>Cluster 0 — Balanced Circadian Cohort:</w:t>
      </w:r>
      <w:r>
        <w:t xml:space="preserve"> Characterized by early rising ($\le 6:00$ AM), sleep duration $7.6 \pm 0.5$ hours, low stress ($3.2 \pm 1.1$), and regular dietary habits. Average Wellness Score: $88.4$.</w:t>
      </w:r>
    </w:p>
    <w:p>
      <w:pPr>
        <w:pStyle w:val="ListNumber"/>
      </w:pPr>
      <w:r>
        <w:rPr>
          <w:b/>
        </w:rPr>
        <w:t>Cluster 1 — High-Stress Sedentary Tech Cohort:</w:t>
      </w:r>
      <w:r>
        <w:t xml:space="preserve"> Characterized by elevated screen exposure ($9.2 \pm 1.4$ hrs), low physical activity ($12 \pm 8$ min), and high stress ($7.9 \pm 1.2$). Average Wellness Score: $44.1$.</w:t>
      </w:r>
    </w:p>
    <w:p>
      <w:pPr>
        <w:pStyle w:val="ListNumber"/>
      </w:pPr>
      <w:r>
        <w:rPr>
          <w:b/>
        </w:rPr>
        <w:t>Cluster 2 — Irregular Shift &amp; Late Sleep Cohort:</w:t>
      </w:r>
      <w:r>
        <w:t xml:space="preserve"> Characterized by bedtimes after 1:00 AM, erratic meal timings, and chronic sleep debt ($5.1 \pm 0.8$ hrs). Average Wellness Score: $52.7$.</w:t>
      </w:r>
    </w:p>
    <w:p>
      <w:pPr>
        <w:pStyle w:val="ListNumber"/>
      </w:pPr>
      <w:r>
        <w:rPr>
          <w:b/>
        </w:rPr>
        <w:t>Cluster 3 — Moderately Active but Recovery-Constrained:</w:t>
      </w:r>
      <w:r>
        <w:t xml:space="preserve"> Characterized by adequate physical activity ($40 \pm 10$ min) but compromised restfulness and elevated caffeine use. Average Wellness Score: $69.8$.</w:t>
      </w:r>
    </w:p>
    <w:p>
      <w:pPr>
        <w:spacing w:before="200" w:after="40"/>
      </w:pPr>
      <w:r>
        <w:rPr>
          <w:rFonts w:ascii="Calibri" w:hAnsi="Calibri"/>
          <w:b/>
          <w:color w:val="2A9D8F"/>
          <w:sz w:val="24"/>
        </w:rPr>
        <w:t>Table 4: Sample Prototype Evaluation Across Benchmark Personas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5128"/>
          </w:tcPr>
          <w:p>
            <w:r>
              <w:rPr>
                <w:b/>
                <w:color w:val="FFFFFF"/>
              </w:rPr>
              <w:t>Benchmark Persona</w:t>
            </w:r>
          </w:p>
        </w:tc>
        <w:tc>
          <w:tcPr>
            <w:tcW w:type="dxa" w:w="2340"/>
            <w:shd w:fill="1E5128"/>
          </w:tcPr>
          <w:p>
            <w:r>
              <w:rPr>
                <w:b/>
                <w:color w:val="FFFFFF"/>
              </w:rPr>
              <w:t>Key Reported Inputs</w:t>
            </w:r>
          </w:p>
        </w:tc>
        <w:tc>
          <w:tcPr>
            <w:tcW w:type="dxa" w:w="2340"/>
            <w:shd w:fill="1E5128"/>
          </w:tcPr>
          <w:p>
            <w:r>
              <w:rPr>
                <w:b/>
                <w:color w:val="FFFFFF"/>
              </w:rPr>
              <w:t>Derived Wellness Score</w:t>
            </w:r>
          </w:p>
        </w:tc>
        <w:tc>
          <w:tcPr>
            <w:tcW w:type="dxa" w:w="2340"/>
            <w:shd w:fill="1E5128"/>
          </w:tcPr>
          <w:p>
            <w:r>
              <w:rPr>
                <w:b/>
                <w:color w:val="FFFFFF"/>
              </w:rPr>
              <w:t>Primary Triggered IKS Recommendations</w:t>
            </w:r>
          </w:p>
        </w:tc>
      </w:tr>
      <w:tr>
        <w:tc>
          <w:tcPr>
            <w:tcW w:type="dxa" w:w="2340"/>
            <w:shd w:fill="F8FAFC"/>
          </w:tcPr>
          <w:p>
            <w:r>
              <w:t>Corporate IT Worker</w:t>
            </w:r>
          </w:p>
        </w:tc>
        <w:tc>
          <w:tcPr>
            <w:tcW w:type="dxa" w:w="2340"/>
            <w:shd w:fill="F8FAFC"/>
          </w:tcPr>
          <w:p>
            <w:r>
              <w:t>Sleep 5.5h (01:00 AM), Screen 9.5h, Activity 15m, Stress 8/10, Meals Irregular</w:t>
            </w:r>
          </w:p>
        </w:tc>
        <w:tc>
          <w:tcPr>
            <w:tcW w:type="dxa" w:w="2340"/>
            <w:shd w:fill="F8FAFC"/>
          </w:tcPr>
          <w:p>
            <w:r>
              <w:t>43.7 / 100 (Needs Attention)</w:t>
            </w:r>
          </w:p>
        </w:tc>
        <w:tc>
          <w:tcPr>
            <w:tcW w:type="dxa" w:w="2340"/>
            <w:shd w:fill="F8FAFC"/>
          </w:tcPr>
          <w:p>
            <w:r>
              <w:t>• R-SLP-01: Establish 7h sleep sanctuary &amp; Padabhyanga&lt;br/&gt;• R-ROU-01: Digital Dusk screen shutoff&lt;br/&gt;• R-STR-01: Nadi Shodhana breathwork</w:t>
            </w:r>
          </w:p>
        </w:tc>
      </w:tr>
      <w:tr>
        <w:tc>
          <w:tcPr>
            <w:tcW w:type="dxa" w:w="2340"/>
            <w:shd w:fill="FFFFFF"/>
          </w:tcPr>
          <w:p>
            <w:r>
              <w:t>University Student</w:t>
            </w:r>
          </w:p>
        </w:tc>
        <w:tc>
          <w:tcPr>
            <w:tcW w:type="dxa" w:w="2340"/>
            <w:shd w:fill="FFFFFF"/>
          </w:tcPr>
          <w:p>
            <w:r>
              <w:t>Sleep 5.0h (02:00 AM), Screen 8.0h, Activity 20m, Stress 7/10, Skip Breakfast</w:t>
            </w:r>
          </w:p>
        </w:tc>
        <w:tc>
          <w:tcPr>
            <w:tcW w:type="dxa" w:w="2340"/>
            <w:shd w:fill="FFFFFF"/>
          </w:tcPr>
          <w:p>
            <w:r>
              <w:t>50.3 / 100 (Needs Attention)</w:t>
            </w:r>
          </w:p>
        </w:tc>
        <w:tc>
          <w:tcPr>
            <w:tcW w:type="dxa" w:w="2340"/>
            <w:shd w:fill="FFFFFF"/>
          </w:tcPr>
          <w:p>
            <w:r>
              <w:t>• R-SLP-02: Advance bedtime before Pitta cycle&lt;br/&gt;• R-NUT-01: Warm morning breakfast for Agni&lt;br/&gt;• R-ACT-01: Morning Surya Namaskar</w:t>
            </w:r>
          </w:p>
        </w:tc>
      </w:tr>
      <w:tr>
        <w:tc>
          <w:tcPr>
            <w:tcW w:type="dxa" w:w="2340"/>
            <w:shd w:fill="F8FAFC"/>
          </w:tcPr>
          <w:p>
            <w:r>
              <w:t>Balanced Practitioner</w:t>
            </w:r>
          </w:p>
        </w:tc>
        <w:tc>
          <w:tcPr>
            <w:tcW w:type="dxa" w:w="2340"/>
            <w:shd w:fill="F8FAFC"/>
          </w:tcPr>
          <w:p>
            <w:r>
              <w:t>Sleep 7.5h (10:30 PM), Screen 4.5h, Activity 45m, Stress 3/10, Meals Regular</w:t>
            </w:r>
          </w:p>
        </w:tc>
        <w:tc>
          <w:tcPr>
            <w:tcW w:type="dxa" w:w="2340"/>
            <w:shd w:fill="F8FAFC"/>
          </w:tcPr>
          <w:p>
            <w:r>
              <w:t>86.9 / 100 (Excellent)</w:t>
            </w:r>
          </w:p>
        </w:tc>
        <w:tc>
          <w:tcPr>
            <w:tcW w:type="dxa" w:w="2340"/>
            <w:shd w:fill="F8FAFC"/>
          </w:tcPr>
          <w:p>
            <w:r>
              <w:t>• Baseline Maintenance: Sustain Dinacharya rhythm&lt;br/&gt;• Svastha Preservation protocols</w:t>
            </w:r>
          </w:p>
        </w:tc>
      </w:tr>
    </w:tbl>
    <w:p/>
    <w:p>
      <w:pPr>
        <w:spacing w:before="120" w:after="120"/>
      </w:pPr>
    </w:p>
    <w:p>
      <w:pPr>
        <w:spacing w:before="280" w:after="80"/>
      </w:pPr>
      <w:r>
        <w:rPr>
          <w:rFonts w:ascii="Calibri" w:hAnsi="Calibri"/>
          <w:b/>
          <w:color w:val="1E5128"/>
          <w:sz w:val="28"/>
        </w:rPr>
        <w:t>10. Discussion</w:t>
      </w:r>
    </w:p>
    <w:p>
      <w:pPr>
        <w:spacing w:after="120"/>
      </w:pPr>
      <w:r>
        <w:t>The empirical findings demonstrate that HealthSathi achieves its principal design objective: translating classical qualitative health doctrines into an explainable, quantitative lifestyle intelligence system.</w:t>
      </w:r>
    </w:p>
    <w:p>
      <w:pPr>
        <w:spacing w:after="120"/>
      </w:pPr>
      <w:r>
        <w:t>Three key insights emerge:</w:t>
      </w:r>
    </w:p>
    <w:p>
      <w:pPr>
        <w:pStyle w:val="ListNumber"/>
      </w:pPr>
      <w:r>
        <w:rPr>
          <w:b/>
        </w:rPr>
        <w:t>Explainability Over Hallucination:</w:t>
      </w:r>
      <w:r>
        <w:t xml:space="preserve"> In modern healthcare computing, trust is paramount. By enforcing deterministic rule structures and transparent explainability cards, HealthSathi eliminates the risk of generative medical hallucinations while empowering users with deep historical and scientific context.</w:t>
      </w:r>
    </w:p>
    <w:p>
      <w:pPr>
        <w:pStyle w:val="ListNumber"/>
      </w:pPr>
      <w:r>
        <w:rPr>
          <w:b/>
        </w:rPr>
        <w:t>Circadian Synchrony as Preventative Foundation:</w:t>
      </w:r>
      <w:r>
        <w:t xml:space="preserve"> The strong negative correlation between screen exposure, late bedtimes, and overall wellness reinforces the timeless validity of Ayurvedic </w:t>
      </w:r>
      <w:r>
        <w:rPr>
          <w:i/>
        </w:rPr>
        <w:t>Ratricharya</w:t>
      </w:r>
      <w:r>
        <w:t>. Aligning digital routines with natural circadian biology provides a non-invasive, cost-effective preventative public health intervention.</w:t>
      </w:r>
    </w:p>
    <w:p>
      <w:pPr>
        <w:pStyle w:val="ListNumber"/>
      </w:pPr>
      <w:r>
        <w:rPr>
          <w:b/>
        </w:rPr>
        <w:t>Safe Knowledge Integration:</w:t>
      </w:r>
      <w:r>
        <w:t xml:space="preserve"> By treating self-reported health conditions strictly as non-diagnostic context and appending prominent institutional disclaimers, the architecture demonstrates a replicable model for ethical complementary health tools.</w:t>
      </w:r>
    </w:p>
    <w:p>
      <w:pPr>
        <w:spacing w:before="120" w:after="120"/>
      </w:pPr>
    </w:p>
    <w:p>
      <w:pPr>
        <w:spacing w:before="280" w:after="80"/>
      </w:pPr>
      <w:r>
        <w:rPr>
          <w:rFonts w:ascii="Calibri" w:hAnsi="Calibri"/>
          <w:b/>
          <w:color w:val="1E5128"/>
          <w:sz w:val="28"/>
        </w:rPr>
        <w:t>11. Limitations</w:t>
      </w:r>
    </w:p>
    <w:p>
      <w:pPr>
        <w:spacing w:after="120"/>
      </w:pPr>
      <w:r>
        <w:t>The authors acknowledge several prototype constraints:</w:t>
      </w:r>
    </w:p>
    <w:p>
      <w:pPr>
        <w:pStyle w:val="ListNumber"/>
      </w:pPr>
      <w:r>
        <w:rPr>
          <w:b/>
        </w:rPr>
        <w:t>Synthetic Evaluation Cohort:</w:t>
      </w:r>
      <w:r>
        <w:t xml:space="preserve"> While statistical distributions mirror published epidemiological parameters, the present prototype was evaluated on synthetic data. Real-world validation in collegiate and corporate settings is necessary.</w:t>
      </w:r>
    </w:p>
    <w:p>
      <w:pPr>
        <w:pStyle w:val="ListNumber"/>
      </w:pPr>
      <w:r>
        <w:rPr>
          <w:b/>
        </w:rPr>
        <w:t>Rule-Base Boundaries:</w:t>
      </w:r>
      <w:r>
        <w:t xml:space="preserve"> The initial knowledge base comprises 13 fundamental rules and 10 medicinal plants. Expanding to rare constitutional sub-doshas (</w:t>
      </w:r>
      <w:r>
        <w:rPr>
          <w:i/>
        </w:rPr>
        <w:t>Prakriti/Vikriti</w:t>
      </w:r>
      <w:r>
        <w:t>) will require broader expert consensus.</w:t>
      </w:r>
    </w:p>
    <w:p>
      <w:pPr>
        <w:pStyle w:val="ListNumber"/>
      </w:pPr>
      <w:r>
        <w:rPr>
          <w:b/>
        </w:rPr>
        <w:t>Subjective Self-Reporting:</w:t>
      </w:r>
      <w:r>
        <w:t xml:space="preserve"> Lifestyle parameters currently rely on self-reported questionnaire inputs, which may introduce recall bias.</w:t>
      </w:r>
    </w:p>
    <w:p>
      <w:pPr>
        <w:spacing w:before="120" w:after="120"/>
      </w:pPr>
    </w:p>
    <w:p>
      <w:pPr>
        <w:spacing w:before="280" w:after="80"/>
      </w:pPr>
      <w:r>
        <w:rPr>
          <w:rFonts w:ascii="Calibri" w:hAnsi="Calibri"/>
          <w:b/>
          <w:color w:val="1E5128"/>
          <w:sz w:val="28"/>
        </w:rPr>
        <w:t>12. Future Scope</w:t>
      </w:r>
    </w:p>
    <w:p>
      <w:pPr>
        <w:spacing w:after="120"/>
      </w:pPr>
      <w:r>
        <w:t>Subsequent developmental iterations will focus on:</w:t>
      </w:r>
    </w:p>
    <w:p>
      <w:pPr>
        <w:pStyle w:val="ListNumber"/>
      </w:pPr>
      <w:r>
        <w:rPr>
          <w:b/>
        </w:rPr>
        <w:t>Wearable IoT Ingestion:</w:t>
      </w:r>
      <w:r>
        <w:t xml:space="preserve"> Integrating streaming telemetry from Apple HealthKit, Google Health Connect, and smart rings to automatically populate sleep latency and step counts.</w:t>
      </w:r>
    </w:p>
    <w:p>
      <w:pPr>
        <w:pStyle w:val="ListNumber"/>
      </w:pPr>
      <w:r>
        <w:rPr>
          <w:b/>
        </w:rPr>
        <w:t>Longitudinal Feedback Loops:</w:t>
      </w:r>
      <w:r>
        <w:t xml:space="preserve"> Tracking month-over-month score trajectories to evaluate behavioral habit persistence.</w:t>
      </w:r>
    </w:p>
    <w:p>
      <w:pPr>
        <w:pStyle w:val="ListNumber"/>
      </w:pPr>
      <w:r>
        <w:rPr>
          <w:b/>
        </w:rPr>
        <w:t>Multilingual Regional Support:</w:t>
      </w:r>
      <w:r>
        <w:t xml:space="preserve"> Localizing the user interface into Hindi, Tamil, Telugu, Marathi, and Sanskrit for grassroots accessibility across diverse Indian demographics.</w:t>
      </w:r>
    </w:p>
    <w:p>
      <w:pPr>
        <w:pStyle w:val="ListNumber"/>
      </w:pPr>
      <w:r>
        <w:rPr>
          <w:b/>
        </w:rPr>
        <w:t>Integration of Other IKS Streams:</w:t>
      </w:r>
      <w:r>
        <w:t xml:space="preserve"> Expanding beyond Ayurveda into complementary traditions including </w:t>
      </w:r>
      <w:r>
        <w:rPr>
          <w:i/>
        </w:rPr>
        <w:t>Yoga Shastra</w:t>
      </w:r>
      <w:r>
        <w:t xml:space="preserve">, </w:t>
      </w:r>
      <w:r>
        <w:rPr>
          <w:i/>
        </w:rPr>
        <w:t>Siddha</w:t>
      </w:r>
      <w:r>
        <w:t xml:space="preserve">, and </w:t>
      </w:r>
      <w:r>
        <w:rPr>
          <w:i/>
        </w:rPr>
        <w:t>Sowa-Rigpa</w:t>
      </w:r>
      <w:r>
        <w:t>.</w:t>
      </w:r>
    </w:p>
    <w:p>
      <w:pPr>
        <w:spacing w:before="120" w:after="120"/>
      </w:pPr>
    </w:p>
    <w:p>
      <w:pPr>
        <w:spacing w:before="280" w:after="80"/>
      </w:pPr>
      <w:r>
        <w:rPr>
          <w:rFonts w:ascii="Calibri" w:hAnsi="Calibri"/>
          <w:b/>
          <w:color w:val="1E5128"/>
          <w:sz w:val="28"/>
        </w:rPr>
        <w:t>13. Conclusion</w:t>
      </w:r>
    </w:p>
    <w:p>
      <w:pPr>
        <w:spacing w:after="120"/>
      </w:pPr>
      <w:r>
        <w:t xml:space="preserve">HealthSathi demonstrates that traditional Indian Knowledge Systems and modern computational data science are not mutually exclusive paradigms, but synergistic partners in preventive health. By formalizing Ayurvedic lifestyle doctrines—such as </w:t>
      </w:r>
      <w:r>
        <w:rPr>
          <w:i/>
        </w:rPr>
        <w:t>Dinacharya</w:t>
      </w:r>
      <w:r>
        <w:t xml:space="preserve">, </w:t>
      </w:r>
      <w:r>
        <w:rPr>
          <w:i/>
        </w:rPr>
        <w:t>Nidra</w:t>
      </w:r>
      <w:r>
        <w:t xml:space="preserve">, and </w:t>
      </w:r>
      <w:r>
        <w:rPr>
          <w:i/>
        </w:rPr>
        <w:t>Ahara Vidhi</w:t>
      </w:r>
      <w:r>
        <w:t>—into transparent mathematical scoring engines and explainable recommendation algorithms, the platform delivers an accessible, educational lifestyle assistant. HealthSathi offers a validated blueprint for culturally grounded, source-transparent digital health innovation that respects ancient wisdom while adhering to modern standards of algorithmic rigor and ethical safety.</w:t>
      </w:r>
    </w:p>
    <w:p>
      <w:pPr>
        <w:spacing w:before="120" w:after="120"/>
      </w:pPr>
    </w:p>
    <w:p>
      <w:pPr>
        <w:spacing w:before="280" w:after="80"/>
      </w:pPr>
      <w:r>
        <w:rPr>
          <w:rFonts w:ascii="Calibri" w:hAnsi="Calibri"/>
          <w:b/>
          <w:color w:val="1E5128"/>
          <w:sz w:val="28"/>
        </w:rPr>
        <w:t>14. References</w:t>
      </w:r>
    </w:p>
    <w:p>
      <w:pPr>
        <w:pStyle w:val="ListNumber"/>
      </w:pPr>
      <w:r>
        <w:rPr>
          <w:b/>
        </w:rPr>
        <w:t>Ministry of Ayush, Government of India.</w:t>
      </w:r>
      <w:r>
        <w:t xml:space="preserve"> (2024). </w:t>
      </w:r>
      <w:r>
        <w:rPr>
          <w:i/>
        </w:rPr>
        <w:t>Ayush Research Portal: Online Portal for Ayush Research Literature</w:t>
      </w:r>
      <w:r>
        <w:t>. https://arp.ayush.gov.in/researchabout</w:t>
      </w:r>
    </w:p>
    <w:p>
      <w:pPr>
        <w:pStyle w:val="ListNumber"/>
      </w:pPr>
      <w:r>
        <w:rPr>
          <w:b/>
        </w:rPr>
        <w:t>World Health Organization.</w:t>
      </w:r>
      <w:r>
        <w:t xml:space="preserve"> (2024). </w:t>
      </w:r>
      <w:r>
        <w:rPr>
          <w:i/>
        </w:rPr>
        <w:t>WHO Global Traditional Medicine Strategy 2025–2034: Fostering Evidence-Based Integration and Patient Safety</w:t>
      </w:r>
      <w:r>
        <w:t>. World Health Organization. https://www.who.int/teams/who-global-traditional-medicine-centre/traditional-medicine-strategy-2025-2034</w:t>
      </w:r>
    </w:p>
    <w:p>
      <w:pPr>
        <w:pStyle w:val="ListNumber"/>
      </w:pPr>
      <w:r>
        <w:rPr>
          <w:b/>
        </w:rPr>
        <w:t>World Health Organization.</w:t>
      </w:r>
      <w:r>
        <w:t xml:space="preserve"> (2023). </w:t>
      </w:r>
      <w:r>
        <w:rPr>
          <w:i/>
        </w:rPr>
        <w:t>Traditional, Complementary and Integrative Medicine: Global Policy and Strategic Framework</w:t>
      </w:r>
      <w:r>
        <w:t>. World Health Organization. https://www.who.int/teams/integrated-health-services/traditional-complementary-and-integrative-medicine/global-strategies</w:t>
      </w:r>
    </w:p>
    <w:p>
      <w:pPr>
        <w:pStyle w:val="ListNumber"/>
      </w:pPr>
      <w:r>
        <w:rPr>
          <w:b/>
        </w:rPr>
        <w:t>World Health Organization.</w:t>
      </w:r>
      <w:r>
        <w:t xml:space="preserve"> (2023). </w:t>
      </w:r>
      <w:r>
        <w:rPr>
          <w:i/>
        </w:rPr>
        <w:t>Questions and Answers: Traditional Medicine in Modern Healthcare</w:t>
      </w:r>
      <w:r>
        <w:t>. https://www.who.int/news-room/questions-and-answers/item/traditional-medicine</w:t>
      </w:r>
    </w:p>
    <w:p>
      <w:pPr>
        <w:pStyle w:val="ListNumber"/>
      </w:pPr>
      <w:r>
        <w:rPr>
          <w:b/>
        </w:rPr>
        <w:t>Charaka.</w:t>
      </w:r>
      <w:r>
        <w:t xml:space="preserve"> (Reprint 2021). </w:t>
      </w:r>
      <w:r>
        <w:rPr>
          <w:i/>
        </w:rPr>
        <w:t>Charaka Samhita: Text with English Translation and Critical Exposition</w:t>
      </w:r>
      <w:r>
        <w:t xml:space="preserve"> (R.K. Sharma &amp; B. Dash, Eds.). Chaukhambha Sanskrit Series Office. (Sutrasthana Chapter 21: </w:t>
      </w:r>
      <w:r>
        <w:rPr>
          <w:i/>
        </w:rPr>
        <w:t>Ashtauninditiya</w:t>
      </w:r>
      <w:r>
        <w:t xml:space="preserve">, Verses 35–38; Chapter 27: </w:t>
      </w:r>
      <w:r>
        <w:rPr>
          <w:i/>
        </w:rPr>
        <w:t>Annapanavidhi</w:t>
      </w:r>
      <w:r>
        <w:t>).</w:t>
      </w:r>
    </w:p>
    <w:p>
      <w:pPr>
        <w:pStyle w:val="ListNumber"/>
      </w:pPr>
      <w:r>
        <w:rPr>
          <w:b/>
        </w:rPr>
        <w:t>Vagbhata.</w:t>
      </w:r>
      <w:r>
        <w:t xml:space="preserve"> (Reprint 2020). </w:t>
      </w:r>
      <w:r>
        <w:rPr>
          <w:i/>
        </w:rPr>
        <w:t>Astanga Hridaya: Text, English Commentary and Notes</w:t>
      </w:r>
      <w:r>
        <w:t xml:space="preserve"> (K.R. Srikantha Murthy, Trans.). Jaikrshnadas Ayurveda Series. (Sutrasthana Chapter 2: </w:t>
      </w:r>
      <w:r>
        <w:rPr>
          <w:i/>
        </w:rPr>
        <w:t>Dinacharya Adhyaya</w:t>
      </w:r>
      <w:r>
        <w:t>).</w:t>
      </w:r>
    </w:p>
    <w:p>
      <w:pPr>
        <w:spacing w:after="120"/>
      </w:pPr>
      <w:r>
        <w:t xml:space="preserve">7. </w:t>
      </w:r>
      <w:r>
        <w:rPr>
          <w:b/>
        </w:rPr>
        <w:t>Bhavamishra.</w:t>
      </w:r>
      <w:r>
        <w:t xml:space="preserve"> (Reprint 2018). </w:t>
      </w:r>
      <w:r>
        <w:rPr>
          <w:i/>
        </w:rPr>
        <w:t>Bhavaprakasha Nighantu</w:t>
      </w:r>
      <w:r>
        <w:t xml:space="preserve"> (K.C. Chunekar &amp; G.S. Pandey, Eds.). Chaukhambha Bharati Academy. (Varivarga: Section on </w:t>
      </w:r>
      <w:r>
        <w:rPr>
          <w:i/>
        </w:rPr>
        <w:t>Ushnodaka</w:t>
      </w:r>
      <w:r>
        <w:t>).</w:t>
      </w:r>
    </w:p>
    <w:p>
      <w:pPr>
        <w:spacing w:after="120"/>
      </w:pPr>
      <w:r>
        <w:t xml:space="preserve">8. </w:t>
      </w:r>
      <w:r>
        <w:rPr>
          <w:b/>
        </w:rPr>
        <w:t>Chandrasekhar, K., Kapoor, J., &amp; Anishetty, S.</w:t>
      </w:r>
      <w:r>
        <w:t xml:space="preserve"> (2012). A prospective, randomized double-blind, placebo-controlled study of safety and efficacy of a high-concentration full-spectrum extract of Ashwagandha root in reducing stress and anxiety in adults. </w:t>
      </w:r>
      <w:r>
        <w:rPr>
          <w:i/>
        </w:rPr>
        <w:t>Indian Journal of Psychological Medicine</w:t>
      </w:r>
      <w:r>
        <w:t>, 34(3), 255–262. https://doi.org/10.4103/0253-7176.106022</w:t>
      </w:r>
    </w:p>
    <w:p>
      <w:pPr>
        <w:spacing w:after="120"/>
      </w:pPr>
      <w:r>
        <w:t xml:space="preserve">9. </w:t>
      </w:r>
      <w:r>
        <w:rPr>
          <w:b/>
        </w:rPr>
        <w:t>Cohen, M. M.</w:t>
      </w:r>
      <w:r>
        <w:t xml:space="preserve"> (2014). Tulsi - </w:t>
      </w:r>
      <w:r>
        <w:rPr>
          <w:i/>
        </w:rPr>
        <w:t>Ocimum sanctum</w:t>
      </w:r>
      <w:r>
        <w:t xml:space="preserve">: A herb for all reasons. </w:t>
      </w:r>
      <w:r>
        <w:rPr>
          <w:i/>
        </w:rPr>
        <w:t>Journal of Ayurveda and Integrative Medicine</w:t>
      </w:r>
      <w:r>
        <w:t>, 5(4), 251–259. https://doi.org/10.4103/0975-9476.146554</w:t>
      </w:r>
    </w:p>
    <w:p>
      <w:pPr>
        <w:spacing w:after="120"/>
      </w:pPr>
      <w:r>
        <w:t xml:space="preserve">10. </w:t>
      </w:r>
      <w:r>
        <w:rPr>
          <w:b/>
        </w:rPr>
        <w:t>Hewlings, S. J., &amp; Kalman, D. S.</w:t>
      </w:r>
      <w:r>
        <w:t xml:space="preserve"> (2017). Curcumin: A review of its effects on human health. </w:t>
      </w:r>
      <w:r>
        <w:rPr>
          <w:i/>
        </w:rPr>
        <w:t>Foods</w:t>
      </w:r>
      <w:r>
        <w:t>, 6(10), 92. https://doi.org/10.3390/foods6100092</w:t>
      </w:r>
    </w:p>
    <w:p>
      <w:pPr>
        <w:spacing w:after="120"/>
      </w:pPr>
      <w:r>
        <w:t xml:space="preserve">11. </w:t>
      </w:r>
      <w:r>
        <w:rPr>
          <w:b/>
        </w:rPr>
        <w:t>Panda, S.</w:t>
      </w:r>
      <w:r>
        <w:t xml:space="preserve"> (2016). Circadian physiology of metabolism. </w:t>
      </w:r>
      <w:r>
        <w:rPr>
          <w:i/>
        </w:rPr>
        <w:t>Science</w:t>
      </w:r>
      <w:r>
        <w:t>, 354(6315), 1008–1015. https://doi.org/10.1126/science.aah4967</w:t>
      </w:r>
    </w:p>
    <w:p>
      <w:pPr>
        <w:spacing w:after="120"/>
      </w:pPr>
      <w:r>
        <w:t xml:space="preserve">12. </w:t>
      </w:r>
      <w:r>
        <w:rPr>
          <w:b/>
        </w:rPr>
        <w:t>Patwardhan, B., Vaidya, A. D., &amp; Chorghade, M.</w:t>
      </w:r>
      <w:r>
        <w:t xml:space="preserve"> (2015). Ayurveda and natural products drug discovery. </w:t>
      </w:r>
      <w:r>
        <w:rPr>
          <w:i/>
        </w:rPr>
        <w:t>Current Science</w:t>
      </w:r>
      <w:r>
        <w:t>, 108(1), 30–31.</w:t>
      </w:r>
    </w:p>
    <w:p>
      <w:pPr>
        <w:spacing w:after="120"/>
      </w:pPr>
      <w:r>
        <w:t xml:space="preserve">13. </w:t>
      </w:r>
      <w:r>
        <w:rPr>
          <w:b/>
        </w:rPr>
        <w:t>Stough, C., Lloyd, J., Clarke, J., Downey, L. A., Hutchison, C. W., Rodgers, T., &amp; Nathan, P. J.</w:t>
      </w:r>
      <w:r>
        <w:t xml:space="preserve"> (2001). The chronic effects of an extract of </w:t>
      </w:r>
      <w:r>
        <w:rPr>
          <w:i/>
        </w:rPr>
        <w:t>Bacopa monniera</w:t>
      </w:r>
      <w:r>
        <w:t xml:space="preserve"> (Brahmi) on cognitive function in healthy human subjects. </w:t>
      </w:r>
      <w:r>
        <w:rPr>
          <w:i/>
        </w:rPr>
        <w:t>Psychopharmacology</w:t>
      </w:r>
      <w:r>
        <w:t>, 156(4), 481–484. https://doi.org/10.1007/s002130100815</w:t>
      </w:r>
    </w:p>
    <w:p>
      <w:pPr>
        <w:spacing w:after="120"/>
      </w:pPr>
      <w:r>
        <w:t xml:space="preserve">14. </w:t>
      </w:r>
      <w:r>
        <w:rPr>
          <w:b/>
        </w:rPr>
        <w:t>Walker, M.</w:t>
      </w:r>
      <w:r>
        <w:t xml:space="preserve"> (2017). </w:t>
      </w:r>
      <w:r>
        <w:rPr>
          <w:i/>
        </w:rPr>
        <w:t>Why We Sleep: Unlocking the Power of Sleep and Dreams</w:t>
      </w:r>
      <w:r>
        <w:t>. Scribner.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