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5128"/>
          <w:sz w:val="44"/>
        </w:rPr>
        <w:t>HealthSathi — IKS Personalized Wellness Report</w:t>
      </w:r>
    </w:p>
    <w:p>
      <w:pPr>
        <w:jc w:val="center"/>
      </w:pPr>
      <w:r>
        <w:rPr>
          <w:rFonts w:ascii="Calibri" w:hAnsi="Calibri"/>
          <w:i/>
          <w:color w:val="4E9F3D"/>
          <w:sz w:val="22"/>
        </w:rPr>
        <w:t>A Data-Driven Framework for Personalized Lifestyle Analytics Grounded in Indian Knowledge Systems (Ayurveda)</w:t>
      </w:r>
    </w:p>
    <w:p>
      <w:pPr>
        <w:jc w:val="center"/>
      </w:pPr>
      <w:r>
        <w:rPr>
          <w:rFonts w:ascii="Calibri" w:hAnsi="Calibri"/>
          <w:color w:val="64748B"/>
          <w:sz w:val="17"/>
        </w:rPr>
        <w:t>Generated by HealthSathi Digital Assistant | Scientific &amp; Classical Knowledge Engine | Confidential Personal Wellness Brief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E2E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B91C1C"/>
                <w:sz w:val="19"/>
              </w:rPr>
              <w:t>MANDATORY SAFETY &amp; NON-DIAGNOSTIC NOTICE</w:t>
              <w:br/>
            </w:r>
            <w:r>
              <w:rPr>
                <w:color w:val="7F1D1D"/>
                <w:sz w:val="18"/>
              </w:rPr>
              <w:t>HealthSathi is an educational and lifestyle wellness prototype, not a medical diagnostic or prescription system. It does NOT diagnose medical conditions, prescribe pharmaceutical or herbal medicines, replace licensed physicians, or advise altering any prescribed clinical treatments. All self-reported conditions are treated strictly as contextual lifestyle indicators to customize daily behavioral recommendations.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1. User Profile &amp; Baseline Lifestyle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Age: </w:t>
            </w:r>
            <w:r>
              <w:rPr>
                <w:b/>
                <w:color w:val="0F172A"/>
                <w:sz w:val="19"/>
              </w:rPr>
              <w:t>28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Gender: </w:t>
            </w:r>
            <w:r>
              <w:rPr>
                <w:b/>
                <w:color w:val="0F172A"/>
                <w:sz w:val="19"/>
              </w:rPr>
              <w:t>Male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Height: </w:t>
            </w:r>
            <w:r>
              <w:rPr>
                <w:b/>
                <w:color w:val="0F172A"/>
                <w:sz w:val="19"/>
              </w:rPr>
              <w:t>175.0 cm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Weight: </w:t>
            </w:r>
            <w:r>
              <w:rPr>
                <w:b/>
                <w:color w:val="0F172A"/>
                <w:sz w:val="19"/>
              </w:rPr>
              <w:t>72.0 kg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BMI: </w:t>
            </w:r>
            <w:r>
              <w:rPr>
                <w:b/>
                <w:color w:val="0F172A"/>
                <w:sz w:val="19"/>
              </w:rPr>
              <w:t>23.5 kg/m²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BMI Category: </w:t>
            </w:r>
            <w:r>
              <w:rPr>
                <w:b/>
                <w:color w:val="0F172A"/>
                <w:sz w:val="19"/>
              </w:rPr>
              <w:t>Normal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Occupation: </w:t>
            </w:r>
            <w:r>
              <w:rPr>
                <w:b/>
                <w:color w:val="0F172A"/>
                <w:sz w:val="19"/>
              </w:rPr>
              <w:t>Working Professional (IT/Corporate)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Sleep Duration: </w:t>
            </w:r>
            <w:r>
              <w:rPr>
                <w:b/>
                <w:color w:val="0F172A"/>
                <w:sz w:val="19"/>
              </w:rPr>
              <w:t>5.5 hrs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Bedtime: </w:t>
            </w:r>
            <w:r>
              <w:rPr>
                <w:b/>
                <w:color w:val="0F172A"/>
                <w:sz w:val="19"/>
              </w:rPr>
              <w:t>01:00 AM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Wake-Up Time: </w:t>
            </w:r>
            <w:r>
              <w:rPr>
                <w:b/>
                <w:color w:val="0F172A"/>
                <w:sz w:val="19"/>
              </w:rPr>
              <w:t>06:30 AM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Sleep Quality: </w:t>
            </w:r>
            <w:r>
              <w:rPr>
                <w:b/>
                <w:color w:val="0F172A"/>
                <w:sz w:val="19"/>
              </w:rPr>
              <w:t>Poor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Work/Study Hours: </w:t>
            </w:r>
            <w:r>
              <w:rPr>
                <w:b/>
                <w:color w:val="0F172A"/>
                <w:sz w:val="19"/>
              </w:rPr>
              <w:t>9.5 hrs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Screen Exposure: </w:t>
            </w:r>
            <w:r>
              <w:rPr>
                <w:b/>
                <w:color w:val="0F172A"/>
                <w:sz w:val="19"/>
              </w:rPr>
              <w:t>9.0 hrs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Physical Activity: </w:t>
            </w:r>
            <w:r>
              <w:rPr>
                <w:b/>
                <w:color w:val="0F172A"/>
                <w:sz w:val="19"/>
              </w:rPr>
              <w:t>15.0 min/day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Water Intake: </w:t>
            </w:r>
            <w:r>
              <w:rPr>
                <w:b/>
                <w:color w:val="0F172A"/>
                <w:sz w:val="19"/>
              </w:rPr>
              <w:t>1.6 L/day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Outdoor Sunlight: </w:t>
            </w:r>
            <w:r>
              <w:rPr>
                <w:b/>
                <w:color w:val="0F172A"/>
                <w:sz w:val="19"/>
              </w:rPr>
              <w:t>15.0 min/day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Reported Stress: </w:t>
            </w:r>
            <w:r>
              <w:rPr>
                <w:b/>
                <w:color w:val="0F172A"/>
                <w:sz w:val="19"/>
              </w:rPr>
              <w:t>8/10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General Mood: </w:t>
            </w:r>
            <w:r>
              <w:rPr>
                <w:b/>
                <w:color w:val="0F172A"/>
                <w:sz w:val="19"/>
              </w:rPr>
              <w:t>Low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Relaxation Practice: </w:t>
            </w:r>
            <w:r>
              <w:rPr>
                <w:b/>
                <w:color w:val="0F172A"/>
                <w:sz w:val="19"/>
              </w:rPr>
              <w:t>No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Meal Regularity: </w:t>
            </w:r>
            <w:r>
              <w:rPr>
                <w:b/>
                <w:color w:val="0F172A"/>
                <w:sz w:val="19"/>
              </w:rPr>
              <w:t>Irregular</w:t>
            </w:r>
          </w:p>
        </w:tc>
      </w:tr>
    </w:tbl>
    <w:p>
      <w:r>
        <w:rPr>
          <w:b/>
          <w:color w:val="1E5128"/>
          <w:sz w:val="19"/>
        </w:rPr>
        <w:t xml:space="preserve">Self-Reported Health Context (Non-Diagnostic): </w:t>
      </w:r>
      <w:r>
        <w:rPr>
          <w:i/>
          <w:sz w:val="19"/>
        </w:rPr>
        <w:t>Anxiety/stress-related concerns</w:t>
      </w:r>
    </w:p>
    <w:p/>
    <w:p>
      <w:pPr>
        <w:pStyle w:val="Heading1"/>
      </w:pPr>
      <w:r>
        <w:rPr>
          <w:b/>
          <w:color w:val="1E5128"/>
        </w:rPr>
        <w:t>2. Derived Lifestyle Wellness Scores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BF5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1E5128"/>
                <w:sz w:val="22"/>
              </w:rPr>
              <w:t xml:space="preserve">OVERALL LIFESTYLE WELLNESS SCORE: </w:t>
            </w:r>
            <w:r>
              <w:rPr>
                <w:b/>
                <w:color w:val="1E5128"/>
                <w:sz w:val="32"/>
              </w:rPr>
              <w:t>38.8 / 100</w:t>
              <w:br/>
            </w:r>
            <w:r>
              <w:rPr>
                <w:i/>
                <w:color w:val="334155"/>
                <w:sz w:val="19"/>
              </w:rPr>
              <w:t>Status: Needs Attention (Hina Vihara) — Substantial lifestyle strain across sleep, routine, or stress management.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440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016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Benchmark</w:t>
            </w:r>
          </w:p>
        </w:tc>
        <w:tc>
          <w:tcPr>
            <w:tcW w:type="dxa" w:w="4032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Evaluation Rationale &amp; IKS Pillar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Sleep Score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57.9 / 100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7.0–8.5 hrs (Bedtime &lt; 10:30 PM)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Evaluates sleep duration, subjective quality, and circadian bedtime alignment (Nidra Trayopasthambha).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Physical Activity Score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34.3 / 100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≥ 30 min daily (Vyayama)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Measures physical exercise volume, outdoor daylight exposure, and screen time balance.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Stress Management Score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31.9 / 100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Stress ≤ 4/10, Good Mood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Assesses autonomic resilience, affective balance, and relaxation activity buffering (Sadvritta).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Hydration Balance Score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60.5 / 100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2.0–3.5 L (Calibrated to mass)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Evaluates adequate water consumption and warm fluid principles (Ushnodaka) for metabolic fire.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Routine Consistency Score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47.5 / 100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Regular meal windows &amp; early wake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Calculates synchronization between sleep times, meal schedules, and diurnal solar cycles (Dinacharya).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Nutrition &amp; Diet Score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10.0 / 100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High fruit/veg, Low junk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Measures wholesome fresh nourishment, breakfast habit, and stimulant moderation (Ahara Vidhi).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3. Personalized Daily Routine (Dinacharya)</w:t>
      </w:r>
    </w:p>
    <w:p>
      <w:r>
        <w:t>Dinacharya represents the classical Ayurvedic science of daily diurnal living, synchronizing human biological rhythms with natural solar cycles and the three doshic time periods (Kapha, Pitta, Vata).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2160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Ayurvedic Phase</w:t>
            </w:r>
          </w:p>
        </w:tc>
        <w:tc>
          <w:tcPr>
            <w:tcW w:type="dxa" w:w="4608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 &amp; Practical Guidance</w:t>
            </w:r>
          </w:p>
        </w:tc>
        <w:tc>
          <w:tcPr>
            <w:tcW w:type="dxa" w:w="1728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Classical Focus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06:30 AM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Brahma Muhurta / Ushahkala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Awaken Mindfully &amp; Ushnodaka Hydration: </w:t>
            </w:r>
            <w:r>
              <w:rPr>
                <w:rFonts w:ascii="Calibri" w:hAnsi="Calibri"/>
                <w:sz w:val="19"/>
              </w:rPr>
              <w:t>Rise quietly. Cleanse eyes, mouth, and tongue (Jihwa Nirlekhana). Sip 1-2 glasses of warm lukewarm water to awaken peristalsis (Agni Deepana).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Vata to Kapha Transition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07:00 AM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Pratah Vyayama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Light Physical Movement / Yoga / Surya Namaskar: </w:t>
            </w:r>
            <w:r>
              <w:rPr>
                <w:rFonts w:ascii="Calibri" w:hAnsi="Calibri"/>
                <w:sz w:val="19"/>
              </w:rPr>
              <w:t>Perform 20 minutes of mindful exercise up to half your capacity (Ardhshakti). Include gentle joint loosening and 5 minutes of Sukhasana breathwork.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Kapha Pacification (Circulation &amp; Agni)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07:45 AM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Pratarasa (Breakfast)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Warm Grounding Nourishment: </w:t>
            </w:r>
            <w:r>
              <w:rPr>
                <w:rFonts w:ascii="Calibri" w:hAnsi="Calibri"/>
                <w:sz w:val="19"/>
              </w:rPr>
              <w:t>Freshly cooked, warm meal (e.g. spiced whole grains, warm porridge, stewed fruits). Avoid cold smoothies or heavy fried items.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Pitta Sparking &amp; Energy Grounding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08:45 AM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Karma Yoga (Morning Focus)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Deep Focused Work / Academic Study: </w:t>
            </w:r>
            <w:r>
              <w:rPr>
                <w:rFonts w:ascii="Calibri" w:hAnsi="Calibri"/>
                <w:sz w:val="19"/>
              </w:rPr>
              <w:t>Tackle the most demanding analytical or strategic tasks while mental clarity (Sattva) is peak and distractions are minimal.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Kapha Stability &amp; Clarity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11:15 AM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Prana Pause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Sensory Rest &amp; Hydration: </w:t>
            </w:r>
            <w:r>
              <w:rPr>
                <w:rFonts w:ascii="Calibri" w:hAnsi="Calibri"/>
                <w:sz w:val="19"/>
              </w:rPr>
              <w:t>Step away from screens for 5-10 minutes. Practice 20-20-20 eye relaxation and sip room-temperature water or herbal tea.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Alochak Pitta (Eye Strain Relief)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01:00 PM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Madhyanha Bhojana (Primary Lunch)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Main Substantial Meal of the Day: </w:t>
            </w:r>
            <w:r>
              <w:rPr>
                <w:rFonts w:ascii="Calibri" w:hAnsi="Calibri"/>
                <w:sz w:val="19"/>
              </w:rPr>
              <w:t>The solar fire is at its zenith; digestive Agni is strongest. Enjoy your most substantial, balanced meal with all six tastes (Shad-Rasa) in a calm setting without screens.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Peak Pitta Agni (Optimal Assimilation)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02:30 PM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Apara Karma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Collaborative Work &amp; Creative Execution: </w:t>
            </w:r>
            <w:r>
              <w:rPr>
                <w:rFonts w:ascii="Calibri" w:hAnsi="Calibri"/>
                <w:sz w:val="19"/>
              </w:rPr>
              <w:t>Afternoon tasks, communications, administrative duties, or creative exploration. Keep posture upright.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Vata Creative Window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06:00 PM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Sandhyakala Movement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Outdoor Walk &amp; Natural Sunlight: </w:t>
            </w:r>
            <w:r>
              <w:rPr>
                <w:rFonts w:ascii="Calibri" w:hAnsi="Calibri"/>
                <w:sz w:val="19"/>
              </w:rPr>
              <w:t>Step outdoors for 25-35 minutes. Natural light exposure during late afternoon supports circadian alignment, mood regulation, and gentle movement.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Vata Balancing &amp; Transition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07:30 PM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Ratri Bhojana (Light Dinner)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Warm, Light, Easily Digestible Supper: </w:t>
            </w:r>
            <w:r>
              <w:rPr>
                <w:rFonts w:ascii="Calibri" w:hAnsi="Calibri"/>
                <w:sz w:val="19"/>
              </w:rPr>
              <w:t>A lighter dinner consumed at least 2.5 to 3 hours before sleep. Warm vegetable soups, spiced lentils (Mung dal), or steamed greens.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Agni Preservation &amp; Digestion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08:30 PM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Sadvritta &amp; Manasika Shanti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Conscious Relaxation &amp; Family / Reflection Time: </w:t>
            </w:r>
            <w:r>
              <w:rPr>
                <w:rFonts w:ascii="Calibri" w:hAnsi="Calibri"/>
                <w:sz w:val="19"/>
              </w:rPr>
              <w:t>Engage in calming leisure, gentle conversation, contemplative reading, or Nadi Shodhana (Alternate Nostril Breathwork).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Prana Vata Calming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11:30 PM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Netra Shanti (Digital Dusk)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Screen Shutoff &amp; Blue-Light Elimination: </w:t>
            </w:r>
            <w:r>
              <w:rPr>
                <w:rFonts w:ascii="Calibri" w:hAnsi="Calibri"/>
                <w:sz w:val="19"/>
              </w:rPr>
              <w:t>Power down high-luminance smartphones, laptops, and TVs. Switch home lighting to warm, ambient, dim tones to signal nocturnal melatonin synthesis.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Sensory Withdrawal (Pratyahara)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09:30 PM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Ratricharya Ritual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Padabhyanga (Foot Massage) &amp; Bedtime Quietude: </w:t>
            </w:r>
            <w:r>
              <w:rPr>
                <w:rFonts w:ascii="Calibri" w:hAnsi="Calibri"/>
                <w:sz w:val="19"/>
              </w:rPr>
              <w:t>Gently massage the soles of your feet with a few drops of warm sesame oil or cow's ghee (Padabhyanga) to induce deep sleep and ground nervous system tension.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Vata Pacification &amp; Somnolence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01:00 AM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Sushupti (Restorative Sleep)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Deep Sleep Window: </w:t>
            </w:r>
            <w:r>
              <w:rPr>
                <w:rFonts w:ascii="Calibri" w:hAnsi="Calibri"/>
                <w:sz w:val="19"/>
              </w:rPr>
              <w:t>Rest in a well-ventilated, dark room. Entering sleep before the 11:00 PM late-night Pitta cycle allows natural cellular detoxification and tissue rejuvenation (Dhatu Poshana).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Kapha Restoration &amp; Ojas Replenishment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4. Curated IKS Recommendations &amp; Transparent Explainability</w:t>
      </w:r>
    </w:p>
    <w:p>
      <w:r>
        <w:t>HealthSathi employs a deterministic, transparent recommendation engine derived from classical texts rather than unconstrained LLM generation. Every recommendation provides explicit explainability: the specific user trigger, the classical physiological rationale, and the primary literature reference.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1: Sleep as Pillar of Vitality (Nidra Trayopasthambha)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Prioritize establishing a restful 7 to 8-hour sleep sanctuary. Discontinue active digital screens at least 60 minutes prior to rest and consider a warm foot massage (Padabhyanga) with sesame oil before bed to calm agitated Vata dosha.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sleep duration is 5.5 hours (&lt; 6.5 hr guideline).</w:t>
              <w:br/>
            </w:r>
            <w:r>
              <w:rPr>
                <w:sz w:val="18"/>
              </w:rPr>
              <w:t>• Classical IKS Rationale: Triggered because your reported sleep duration is under 6.5 hours. In classical IKS physiology, insufficient restorative sleep creates dry and irregular Vata disturbances that sap vitality and impair next-day cognitive agility.</w:t>
              <w:br/>
            </w:r>
            <w:r>
              <w:rPr>
                <w:color w:val="475569"/>
                <w:sz w:val="17"/>
              </w:rPr>
              <w:t>• Authentic Source: Charaka Samhita (Sutrasthana Chapter 21 - Ashtauninditiya) | Ref: Charaka Samhita Sutrasthana 21.36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2: Circadian Night Regimen (Ratricharya)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Gradually bring your bedtime closer to 10:00 PM to 10:30 PM. The early night hours are governed by Kapha stability, facilitating deep cellular repair and authentic sleep architecture.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bedtime is 01:00 AM (after 11:30 PM).</w:t>
              <w:br/>
            </w:r>
            <w:r>
              <w:rPr>
                <w:sz w:val="18"/>
              </w:rPr>
              <w:t>• Classical IKS Rationale: Triggered because your reported bedtime is after 11:30 PM. Sleeping during the late-night Pitta surge can lead to interrupted sleep, morning grogginess, and ungrounded energy.</w:t>
              <w:br/>
            </w:r>
            <w:r>
              <w:rPr>
                <w:color w:val="475569"/>
                <w:sz w:val="17"/>
              </w:rPr>
              <w:t>• Authentic Source: Astanga Hridaya (Sutrasthana Chapter 2 - Dinacharya Adhyaya) | Ref: Astanga Hridaya Sutrasthana 2.18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3: Balanced Physical Exercise (Vyayama Maryada)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Incorporate 30 to 45 minutes of light-to-moderate morning movement, such as Surya Namaskar (Sun Salutations), brisk walking, or gentle joint rotations (Sukshma Vyayama).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physical activity is 15.0 min/day (&lt; 30 min minimum).</w:t>
              <w:br/>
            </w:r>
            <w:r>
              <w:rPr>
                <w:sz w:val="18"/>
              </w:rPr>
              <w:t>• Classical IKS Rationale: Triggered because your reported physical activity is below 30 minutes daily. Ancient texts state that regular mindful movement stokes digestive Agni, reduces lethargy (Tamas), and keeps joint srotas supple.</w:t>
              <w:br/>
            </w:r>
            <w:r>
              <w:rPr>
                <w:color w:val="475569"/>
                <w:sz w:val="17"/>
              </w:rPr>
              <w:t>• Authentic Source: Astanga Hridaya (Sutrasthana Chapter 2 - Dinacharya Adhyaya) | Ref: Astanga Hridaya Sutrasthana 2.10-12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4: Mindful Conduct and Meditation (Sadvritta &amp; Dhyana)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Practice 10 to 15 minutes of Nadi Shodhana (Alternate Nostril Pranayama) and cooling breathwork (Sheetali/Bhramari) upon waking or before evening meals to pacify autonomic tension.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stress score is 8/10 (elevated psychological tension).</w:t>
              <w:br/>
            </w:r>
            <w:r>
              <w:rPr>
                <w:sz w:val="18"/>
              </w:rPr>
              <w:t>• Classical IKS Rationale: Triggered because your reported stress level is elevated (&gt;= 7/10). In IKS principles, persistent high tension constricts subtle biological channels (Manovaha Srotas) and compromises restful mental clarity.</w:t>
              <w:br/>
            </w:r>
            <w:r>
              <w:rPr>
                <w:color w:val="475569"/>
                <w:sz w:val="17"/>
              </w:rPr>
              <w:t>• Authentic Source: Charaka Samhita (Sutrasthana Chapter 21 - Ashtauninditiya) | Ref: Charaka Samhita Sutrasthana 11.54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5: Dedicated Restorative Pauses (Pranayama &amp; Rest)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Dedicate at least one 15-minute conscious unplugged pause into your daily routine—such as mindful nature walking, contemplative breath counting, or listening to calming ragas.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 indicated not engaging in any regular relaxation or mindfulness activity.</w:t>
              <w:br/>
            </w:r>
            <w:r>
              <w:rPr>
                <w:sz w:val="18"/>
              </w:rPr>
              <w:t>• Classical IKS Rationale: Triggered because you noted no regular dedicated relaxation practice. Even a brief daily mindfulness pause acts as a psychological buffer that recalibrates the autonomic nervous system.</w:t>
              <w:br/>
            </w:r>
            <w:r>
              <w:rPr>
                <w:color w:val="475569"/>
                <w:sz w:val="17"/>
              </w:rPr>
              <w:t>• Authentic Source: Chandrasekhar et al. (2012) Indian Journal of Psychological Medicine | Ref: Chandrasekhar et al. (2012) / Charaka Samhita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6: Therapeutic Hydration (Ushnodaka)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Increase daily hydration to 2.5 to 3 liters. Sip lukewarm water throughout the day rather than chugging iced fluids with heavy meals, which dampens digestive enzymes.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daily water intake is 1.6 L (&lt; 2.0 L recommended baseline).</w:t>
              <w:br/>
            </w:r>
            <w:r>
              <w:rPr>
                <w:sz w:val="18"/>
              </w:rPr>
              <w:t>• Classical IKS Rationale: Triggered because your reported water intake is under 2.0 liters daily. Insufficient cellular hydration impairs natural detoxification channels (Mutravaha/Svedavaha Srotas) and promotes internal dryness.</w:t>
              <w:br/>
            </w:r>
            <w:r>
              <w:rPr>
                <w:color w:val="475569"/>
                <w:sz w:val="17"/>
              </w:rPr>
              <w:t>• Authentic Source: Bhavaprakasha Nighantu (Varivarga) | Ref: Bhavaprakasha Nighantu Varivarga 4.12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7: Morning Digestive Ignition (Agni Deepana)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Adopt a nourishing, easily digestible warm breakfast (such as warm spiced oatmeal, stewed apples with cloves, or freshly cooked whole grains) within two hours of rising.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 reported skipping regular morning breakfast.</w:t>
              <w:br/>
            </w:r>
            <w:r>
              <w:rPr>
                <w:sz w:val="18"/>
              </w:rPr>
              <w:t>• Classical IKS Rationale: Triggered because you indicated skipping breakfast regularly. In Ayurvedic chronobiology, waking digestive fire requires gentle grounding nourishment to stabilize morning cognitive stamina.</w:t>
              <w:br/>
            </w:r>
            <w:r>
              <w:rPr>
                <w:color w:val="475569"/>
                <w:sz w:val="17"/>
              </w:rPr>
              <w:t>• Authentic Source: Charaka Samhita (Sutrasthana Chapter 27 - Annapanavidhi) | Ref: Charaka Samhita Sutrasthana 27.245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8: Purity and Freshness of Food (Ahara Shuddhi)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Progressively replace packaged snacks with fresh seasonal fruits (like amla, pomegranates, or dates), soaked nuts, and wholesome home-cooked lentil and grain meals.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 reported a High frequency of processed / ultra-packaged food consumption.</w:t>
              <w:br/>
            </w:r>
            <w:r>
              <w:rPr>
                <w:sz w:val="18"/>
              </w:rPr>
              <w:t>• Classical IKS Rationale: Triggered because of high reported processed food consumption. Traditional wellness identifies dense artificial additives as prime contributors to sluggish digestion and tissue stagnation.</w:t>
              <w:br/>
            </w:r>
            <w:r>
              <w:rPr>
                <w:color w:val="475569"/>
                <w:sz w:val="17"/>
              </w:rPr>
              <w:t>• Authentic Source: Charaka Samhita (Sutrasthana Chapter 27 - Annapanavidhi) | Ref: Charaka Samhita Sutrasthana 27.3-6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9: Caffeine and Adrenal Moderation (Pitta Prashamana)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Transition your afternoon caffeine cups to herbal restorative infusions, such as Tulsi tea, warm ginger-fennel water, or spiced cardamom milk.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 reported a High frequency of daily caffeine consumption.</w:t>
              <w:br/>
            </w:r>
            <w:r>
              <w:rPr>
                <w:sz w:val="18"/>
              </w:rPr>
              <w:t>• Classical IKS Rationale: Triggered because of high caffeine frequency. Stimulants in excess dry mucosal membranes and disrupt normal nocturnal melatonin release according to integrative chronobiology.</w:t>
              <w:br/>
            </w:r>
            <w:r>
              <w:rPr>
                <w:color w:val="475569"/>
                <w:sz w:val="17"/>
              </w:rPr>
              <w:t>• Authentic Source: Cohen (2014) Journal of Ayurveda and Integrative Medicine | Ref: Cohen (2014) Tulsi &amp; Charaka Samhita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10: Sensory Fatigue &amp; Screen Hygiene (Indriya Shrama)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Institute a 'Digital Dusk' protocol: apply the 20-20-20 rule during screen sessions and eliminate digital displays at least one hour before retiring to bed.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daily digital screen exposure is 9.0 hours (&gt; 7.0 hr threshold).</w:t>
              <w:br/>
            </w:r>
            <w:r>
              <w:rPr>
                <w:sz w:val="18"/>
              </w:rPr>
              <w:t>• Classical IKS Rationale: Triggered because your daily screen time exceeds 7 hours. Classical texts explicitly warn that excessive sensory stimulation taxes the mental faculties and disrupts restorative sleep.</w:t>
              <w:br/>
            </w:r>
            <w:r>
              <w:rPr>
                <w:color w:val="475569"/>
                <w:sz w:val="17"/>
              </w:rPr>
              <w:t>• Authentic Source: Astanga Hridaya (Sutrasthana Chapter 2 - Dinacharya Adhyaya) | Ref: Astanga Hridaya Sutrasthana 2.22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11: Connection with Natural Elements (Prakriti Sambandha)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Ensure at least 20 to 30 minutes of natural outdoor exposure daily, preferably during early morning sunlight to calibrate your circadian clock and support natural Vitamin D synthesis.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outdoor natural sunlight exposure is 15.0 min/day (&lt; 20 min guideline).</w:t>
              <w:br/>
            </w:r>
            <w:r>
              <w:rPr>
                <w:sz w:val="18"/>
              </w:rPr>
              <w:t>• Classical IKS Rationale: Triggered because your outdoor exposure is under 20 minutes daily. Natural sunlight provides essential ambient signaling for hormonal rhythms and mood elevation.</w:t>
              <w:br/>
            </w:r>
            <w:r>
              <w:rPr>
                <w:color w:val="475569"/>
                <w:sz w:val="17"/>
              </w:rPr>
              <w:t>• Authentic Source: Astanga Hridaya (Sutrasthana Chapter 2 - Dinacharya Adhyaya) | Ref: Astanga Hridaya Sutrasthana 2.1-4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12: Chrononutrition and Meal Timing (Kala Bhojana)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Establish fixed eating windows: lunch as the primary substantial meal between 12:00 PM and 1:30 PM (when Pitta is peak) and a lighter dinner before 8:00 PM.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 reported irregular or erratic daily meal timings.</w:t>
              <w:br/>
            </w:r>
            <w:r>
              <w:rPr>
                <w:sz w:val="18"/>
              </w:rPr>
              <w:t>• Classical IKS Rationale: Triggered because meal timings were reported as irregular. The digestive fire follows the solar arc; synchronizing meals with nature's diurnal clock optimizes metabolic breakdown.</w:t>
              <w:br/>
            </w:r>
            <w:r>
              <w:rPr>
                <w:color w:val="475569"/>
                <w:sz w:val="17"/>
              </w:rPr>
              <w:t>• Authentic Source: Charaka Samhita (Sutrasthana Chapter 27 - Annapanavidhi) | Ref: Charaka Samhita Sutrasthana 27.250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13: Supportive Lifestyle Complement (Svasthavritta Paripalana)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Maintain consistent open communication with your primary healthcare provider. Use gentle breathwork, warm hydration, and regular sleep habits as wholesome adjunct support for overall constitutional vitality.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Self-reported health condition context noted: Anxiety/stress-related concerns.</w:t>
              <w:br/>
            </w:r>
            <w:r>
              <w:rPr>
                <w:sz w:val="18"/>
              </w:rPr>
              <w:t>• Classical IKS Rationale: Triggered because you noted existing self-reported health conditions. HealthSathi treats these respectfully as lifestyle context for gentle support without offering medical diagnosis or treatment.</w:t>
              <w:br/>
            </w:r>
            <w:r>
              <w:rPr>
                <w:color w:val="475569"/>
                <w:sz w:val="17"/>
              </w:rPr>
              <w:t>• Authentic Source: WHO Traditional Complementary and Integrative Medicine | Ref: WHO Integrative Medicine &amp; Ayush Portal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5. Traditional Botanical Wellness Information (Educational Reference)</w:t>
      </w:r>
    </w:p>
    <w:p>
      <w:r>
        <w:t>Ayurvedic Dravyaguna Vidya categorizes botanical substances by their experiential attributes (Rasa, Virya, Vipaka). The entries below are presented solely for educational reference and do not constitute personal medical prescriptions.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Plant &amp; Sanskrit</w:t>
            </w:r>
          </w:p>
        </w:tc>
        <w:tc>
          <w:tcPr>
            <w:tcW w:type="dxa" w:w="2160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Classical Attributes</w:t>
            </w:r>
          </w:p>
        </w:tc>
        <w:tc>
          <w:tcPr>
            <w:tcW w:type="dxa" w:w="3168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Traditional &amp; Modern Actions</w:t>
            </w:r>
          </w:p>
        </w:tc>
        <w:tc>
          <w:tcPr>
            <w:tcW w:type="dxa" w:w="2592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Safety Notes &amp; Cautions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Ashwagandha</w:t>
              <w:br/>
            </w:r>
            <w:r>
              <w:rPr>
                <w:rFonts w:ascii="Calibri" w:hAnsi="Calibri"/>
                <w:i/>
                <w:sz w:val="19"/>
              </w:rPr>
              <w:t>Withania somnifera</w:t>
              <w:br/>
            </w:r>
            <w:r>
              <w:rPr>
                <w:rFonts w:ascii="Calibri" w:hAnsi="Calibri"/>
                <w:sz w:val="19"/>
              </w:rPr>
              <w:t>(Ashwagandha)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Tikta-Kashaya-Madhura / Ushna / Madhura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Traditionally revered in Ayurveda as a premier Rasayana (rejuvenator) and Medhya herb known to pacify Vata and Kapha doshas and support vitality (Ojas).</w:t>
              <w:br/>
              <w:br/>
            </w:r>
            <w:r>
              <w:rPr>
                <w:rFonts w:ascii="Calibri" w:hAnsi="Calibri"/>
                <w:sz w:val="19"/>
              </w:rPr>
              <w:t>Modern Note: Modern pharmacological investigations observe adaptogenic properties that may assist the body in modulating physiological responses to chronic stress and cortisol levels.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B91C1C"/>
                <w:sz w:val="19"/>
              </w:rPr>
              <w:t>Traditionally considered safe in culinary/tonic quantities. Avoid during pregnancy or with acute hyperthyroid medications without physician supervision.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Tulsi (Holy Basil)</w:t>
              <w:br/>
            </w:r>
            <w:r>
              <w:rPr>
                <w:rFonts w:ascii="Calibri" w:hAnsi="Calibri"/>
                <w:i/>
                <w:sz w:val="19"/>
              </w:rPr>
              <w:t>Ocimum sanctum</w:t>
              <w:br/>
            </w:r>
            <w:r>
              <w:rPr>
                <w:rFonts w:ascii="Calibri" w:hAnsi="Calibri"/>
                <w:sz w:val="19"/>
              </w:rPr>
              <w:t>(Tulasi)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Katu-Tikta / Ushna / Katu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Revered as the 'Queen of Herbs' and an exemplary adaptogen that clears the respiratory channels (Pranavaha Srotas) and uplifts the mind (Sattva).</w:t>
              <w:br/>
              <w:br/>
            </w:r>
            <w:r>
              <w:rPr>
                <w:rFonts w:ascii="Calibri" w:hAnsi="Calibri"/>
                <w:sz w:val="19"/>
              </w:rPr>
              <w:t>Modern Note: Scientific studies report antimicrobial, cardioprotective, and adaptogenic properties that support resilience against physical and environmental stressors.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B91C1C"/>
                <w:sz w:val="19"/>
              </w:rPr>
              <w:t>Safe for daily culinary infusion (tea). Moderation recommended for individuals trying to conceive or on blood thinners.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Brahmi</w:t>
              <w:br/>
            </w:r>
            <w:r>
              <w:rPr>
                <w:rFonts w:ascii="Calibri" w:hAnsi="Calibri"/>
                <w:i/>
                <w:sz w:val="19"/>
              </w:rPr>
              <w:t>Bacopa monnieri</w:t>
              <w:br/>
            </w:r>
            <w:r>
              <w:rPr>
                <w:rFonts w:ascii="Calibri" w:hAnsi="Calibri"/>
                <w:sz w:val="19"/>
              </w:rPr>
              <w:t>(Brahmi)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Tikta-Kashaya / Sheeta / Madhura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Premier Medhya Rasayana (nervine tonic) in classical Ayurveda dedicated to enhancing Dhi (acquisition), Dhriti (retention), and Smriti (recall).</w:t>
              <w:br/>
              <w:br/>
            </w:r>
            <w:r>
              <w:rPr>
                <w:rFonts w:ascii="Calibri" w:hAnsi="Calibri"/>
                <w:sz w:val="19"/>
              </w:rPr>
              <w:t>Modern Note: Clinical trials demonstrate bacosides facilitate synaptic communication, support brain neurochemistry, and assist healthy working memory in adults.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B91C1C"/>
                <w:sz w:val="19"/>
              </w:rPr>
              <w:t>Generally well tolerated when taken with healthy fats (ghee/milk). Mild gastrointestinal sensitivity may occur on an empty stomach.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Ginger</w:t>
              <w:br/>
            </w:r>
            <w:r>
              <w:rPr>
                <w:rFonts w:ascii="Calibri" w:hAnsi="Calibri"/>
                <w:i/>
                <w:sz w:val="19"/>
              </w:rPr>
              <w:t>Zingiber officinale</w:t>
              <w:br/>
            </w:r>
            <w:r>
              <w:rPr>
                <w:rFonts w:ascii="Calibri" w:hAnsi="Calibri"/>
                <w:sz w:val="19"/>
              </w:rPr>
              <w:t>(Ardraka / Shunthi)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Katu / Ushna / Madhura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Celebrated in Ayurvedic texts as Vishwabhesaja (universal medicine) that stimulates Agni (digestive fire), alleviates Aama (metabolic toxins), and balances Vata.</w:t>
              <w:br/>
              <w:br/>
            </w:r>
            <w:r>
              <w:rPr>
                <w:rFonts w:ascii="Calibri" w:hAnsi="Calibri"/>
                <w:sz w:val="19"/>
              </w:rPr>
              <w:t>Modern Note: Active gingerols and shogaols have been clinically studied for promoting gastrointestinal motility, mitigating nausea, and supporting thermogenesis.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B91C1C"/>
                <w:sz w:val="19"/>
              </w:rPr>
              <w:t>Generally recognized as safe. Moderation advised in individuals with acute gastric ulcers or severe Pitta aggravation (hyperacidity).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6. Authentic Sources &amp; Institutional References</w:t>
      </w:r>
    </w:p>
    <w:p>
      <w:r>
        <w:rPr>
          <w:b/>
          <w:sz w:val="19"/>
        </w:rPr>
        <w:t xml:space="preserve">• Ministry of Ayush — Ayush Research Portal: </w:t>
      </w:r>
      <w:r>
        <w:rPr>
          <w:sz w:val="18"/>
        </w:rPr>
        <w:t xml:space="preserve">Official national database for indexed peer-reviewed Ayurvedic clinical trials and pharmacological research. </w:t>
      </w:r>
      <w:r>
        <w:rPr>
          <w:color w:val="0284C7"/>
          <w:sz w:val="17"/>
        </w:rPr>
        <w:t>[https://arp.ayush.gov.in/researchabout]</w:t>
      </w:r>
    </w:p>
    <w:p>
      <w:r>
        <w:rPr>
          <w:b/>
          <w:sz w:val="19"/>
        </w:rPr>
        <w:t xml:space="preserve">• WHO Global Traditional Medicine Strategy 2025–2034: </w:t>
      </w:r>
      <w:r>
        <w:rPr>
          <w:sz w:val="18"/>
        </w:rPr>
        <w:t xml:space="preserve">World Health Organization policy framework on evidence integration, digital health, and quality safety standardisation. </w:t>
      </w:r>
      <w:r>
        <w:rPr>
          <w:color w:val="0284C7"/>
          <w:sz w:val="17"/>
        </w:rPr>
        <w:t>[https://www.who.int/teams/who-global-traditional-medicine-centre/traditional-medicine-strategy-2025-2034]</w:t>
      </w:r>
    </w:p>
    <w:p>
      <w:r>
        <w:rPr>
          <w:b/>
          <w:sz w:val="19"/>
        </w:rPr>
        <w:t xml:space="preserve">• WHO Traditional, Complementary &amp; Integrative Medicine: </w:t>
      </w:r>
      <w:r>
        <w:rPr>
          <w:sz w:val="18"/>
        </w:rPr>
        <w:t xml:space="preserve">Global strategies for standardizing safety, education, and health system integration of traditional modalities. </w:t>
      </w:r>
      <w:r>
        <w:rPr>
          <w:color w:val="0284C7"/>
          <w:sz w:val="17"/>
        </w:rPr>
        <w:t>[https://www.who.int/teams/integrated-health-services/traditional-complementary-and-integrative-medicine/global-strategies]</w:t>
      </w:r>
    </w:p>
    <w:p>
      <w:r>
        <w:rPr>
          <w:b/>
          <w:sz w:val="19"/>
        </w:rPr>
        <w:t xml:space="preserve">• Charaka Samhita (Sutrasthana 21 &amp; 27): </w:t>
      </w:r>
      <w:r>
        <w:rPr>
          <w:sz w:val="18"/>
        </w:rPr>
        <w:t xml:space="preserve">Classical treatise foundational chapters on sleep (Nidra Trayopasthambha) and dietary regimens (Annapanavidhi). </w:t>
      </w:r>
      <w:r>
        <w:rPr>
          <w:color w:val="0284C7"/>
          <w:sz w:val="17"/>
        </w:rPr>
        <w:t>[https://www.carakasamhitaonline.com]</w:t>
      </w:r>
    </w:p>
    <w:p>
      <w:r>
        <w:rPr>
          <w:b/>
          <w:sz w:val="19"/>
        </w:rPr>
        <w:t xml:space="preserve">• Astanga Hridaya (Sutrasthana 2): </w:t>
      </w:r>
      <w:r>
        <w:rPr>
          <w:sz w:val="18"/>
        </w:rPr>
        <w:t xml:space="preserve">Foundational treatise on diurnal circadian lifestyle (Dinacharya Adhyaya) and seasonal living (Ritucharya). </w:t>
      </w:r>
      <w:r>
        <w:rPr>
          <w:color w:val="0284C7"/>
          <w:sz w:val="17"/>
        </w:rPr>
        <w:t>[https://vedicheritage.gov.in]</w:t>
      </w:r>
    </w:p>
    <w:p>
      <w:r>
        <w:rPr>
          <w:b/>
          <w:sz w:val="19"/>
        </w:rPr>
        <w:t xml:space="preserve">• Bhavaprakasha Nighantu (Varivarga): </w:t>
      </w:r>
      <w:r>
        <w:rPr>
          <w:sz w:val="18"/>
        </w:rPr>
        <w:t xml:space="preserve">Classical pharmacopeia and hydrological treatise describing warm water intake (Ushnodaka) for metabolic fire and digestion. </w:t>
      </w:r>
      <w:r>
        <w:rPr>
          <w:color w:val="0284C7"/>
          <w:sz w:val="17"/>
        </w:rPr>
        <w:t>[https://vedicheritage.gov.in]</w:t>
      </w:r>
    </w:p>
    <w:p>
      <w:r>
        <w:rPr>
          <w:b/>
          <w:sz w:val="19"/>
        </w:rPr>
        <w:t xml:space="preserve">• Chandrasekhar et al. (2012) Indian J Psychol Med: </w:t>
      </w:r>
      <w:r>
        <w:rPr>
          <w:sz w:val="18"/>
        </w:rPr>
        <w:t xml:space="preserve">Randomized double-blind placebo-controlled study on Ashwagandha root extract reducing cortisol and perceived stress. </w:t>
      </w:r>
      <w:r>
        <w:rPr>
          <w:color w:val="0284C7"/>
          <w:sz w:val="17"/>
        </w:rPr>
        <w:t>[https://pubmed.ncbi.nlm.nih.gov/23439798/]</w:t>
      </w:r>
    </w:p>
    <w:p>
      <w:r>
        <w:rPr>
          <w:b/>
          <w:sz w:val="19"/>
        </w:rPr>
        <w:t xml:space="preserve">• Hewlings &amp; Kalman (2017) Foods: </w:t>
      </w:r>
      <w:r>
        <w:rPr>
          <w:sz w:val="18"/>
        </w:rPr>
        <w:t xml:space="preserve">Curcumin: A Review of Its Effects on Human Health and Antioxidant Capacities. </w:t>
      </w:r>
      <w:r>
        <w:rPr>
          <w:color w:val="0284C7"/>
          <w:sz w:val="17"/>
        </w:rPr>
        <w:t>[https://www.ncbi.nlm.nih.gov/pmc/articles/PMC5664031/]</w:t>
      </w:r>
    </w:p>
    <w:p>
      <w:r>
        <w:rPr>
          <w:b/>
          <w:sz w:val="19"/>
        </w:rPr>
        <w:t xml:space="preserve">• Cohen (2014) J Ayurveda Integr Med: </w:t>
      </w:r>
      <w:r>
        <w:rPr>
          <w:sz w:val="18"/>
        </w:rPr>
        <w:t xml:space="preserve">Tulsi - Ocimum sanctum: A herb for all reasons in lifestyle and stress management. </w:t>
      </w:r>
      <w:r>
        <w:rPr>
          <w:color w:val="0284C7"/>
          <w:sz w:val="17"/>
        </w:rPr>
        <w:t>[https://www.ncbi.nlm.nih.gov/pmc/articles/PMC4296439/]</w:t>
      </w:r>
    </w:p>
    <w:p>
      <w:r>
        <w:rPr>
          <w:b/>
          <w:sz w:val="19"/>
        </w:rPr>
        <w:t xml:space="preserve">• Stough et al. (2001) Psychopharmacology: </w:t>
      </w:r>
      <w:r>
        <w:rPr>
          <w:sz w:val="18"/>
        </w:rPr>
        <w:t xml:space="preserve">Double-blind clinical trial on Bacopa monnieri (Brahmi) improving working memory and cognitive speed. </w:t>
      </w:r>
      <w:r>
        <w:rPr>
          <w:color w:val="0284C7"/>
          <w:sz w:val="17"/>
        </w:rPr>
        <w:t>[https://pubmed.ncbi.nlm.nih.gov/11498727/]</w:t>
      </w:r>
    </w:p>
    <w:p/>
    <w:p>
      <w:r>
        <w:rPr>
          <w:i/>
          <w:color w:val="64748B"/>
          <w:sz w:val="17"/>
        </w:rPr>
        <w:t>Institutional Notice: Generated by the HealthSathi Digital Lifestyle Assistant prototype for educational and research evaluation. For medical inquiries, clinical diagnoses, or prescription therapies, always consult licensed healthcare professionals.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