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Depvar - 1 부도, 0 부도X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 : 어휘설명 / 변수와 Depvar와의 관계 설명</w:t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455"/>
        <w:gridCol w:w="5655"/>
        <w:tblGridChange w:id="0">
          <w:tblGrid>
            <w:gridCol w:w="2655"/>
            <w:gridCol w:w="1455"/>
            <w:gridCol w:w="5655"/>
          </w:tblGrid>
        </w:tblGridChange>
      </w:tblGrid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Description</w:t>
            </w:r>
          </w:p>
        </w:tc>
      </w:tr>
      <w:tr>
        <w:trPr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(+) Coef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funded_amnt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5.987837e-05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채무자에게 지급된 대출 총액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loan_amnt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5.987807e-05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잔여 대출 금액 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funded_amnt_inv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5.985048e-05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투자자가 지급한 대출 총액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recoveries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2.351977e-05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탕감해준뒤 남은 빚 /  높을수록 부도할 가능성이 높다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total_rec_int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1.868261e-05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현재까지 받은 이자 / 이자가 많다는 것은 많이 빌렸고, 오래빌려서 높은 것(빚에 대한 의존도가 높다)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fico_range_low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3.270494e-06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양의 상관관계라서 해석이 모호함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annual_inc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3.020505e-06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연소득이 높으면 부도확률이 높다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installment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1.914942e-06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월 납부금/ 월 납부금이 높다는것은 대출원금이 높으니까 돈이 없는사람일 가능성이 높고,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tot_coll_amt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8.796947e-07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신용을 많이 썼을수록 부도확률이 높다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last_fico_range_high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5.565464e-07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양의 상관관계라서 해석이 모호함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elapsed_t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3.098399e-07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변수 설명이 없음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1.099020e-07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사용한 신용 계좌(credit line) 갯수 / 돈이 없으니깐 신용을 끌어다 쓴것이며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total_rec_late_fee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1.051801e-07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현재까지 받은 연체료 / 연체를 많이할수록 신용이 낮은 것으로,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out_prncp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3.708803e-08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갚고 남은 빚 / 남아있는 빚의 양이 많을수록 부도확률이 높다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out_prncp_inv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3.708630e-08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투자받은 금액 중 갚고 남은 빚 / 남아있는 빚의 양이 클수록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revol_util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3.316649e-09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가능한 리볼빙 금액중 사용한 비율 / 높을수록 리볼빙을 많이 한것으로 -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mths_since_recent_revol_delinq1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3.163032e-09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마지막 리볼빙 연체 이후 얼마나 지났는지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mths_since_recent_bc2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1.416153e-09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</w:t>
            </w: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계좌를 개설한지 얼마나 지났는지.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mths_since_recent_inq3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1.260892e-09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/ inquiry(면담?취조?) 이후 얼마나 지났는지.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debt_settlement_flag1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1.239931e-09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신용회복위원회의 도움을 받아서 상환을 하고 있는지 / 스스로 상환하는 사람은 0, 도움을 받는사람은 1 / 도움을 받는경우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int_rate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1.220043e-09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이율 / 이율이 높다는 것은 그사람이 신용이 낮다는 뜻이므로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emp_length12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1.135432e-09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/ 재직기간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제3의 변수로 인해 confounding factor 가 존재해서 둘이 양의 상관관계를 나타낸 것. (-&gt; 부도낸 사람들이 대부분 income이 낮지않고 credit rate도 높아서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emp_length12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 가 높게 나왔을 수 있다)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mths_since_recent_bc6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7.455868e-10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mths_since_recent_bc4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6.172601e-10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purpose10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4.281169e-10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대출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 목적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emp_length1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3.885003e-10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issue_d89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3.096723e-10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/ 대출금이 조달된 달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mths_since_recent_revol_delinq10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2.192249e-10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mths_since_rcnt_il5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1.602516e-10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/ 할부계좌를 개설한지 얼마나 되었는지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addr_state43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1.321639e-10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대출한사람 집 주소(State) → 특정 주에서 부도확률 높음을 의미할 수도 있음.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addr_state3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8.579439e-11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chargeoff_within_12_mths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5.569875e-11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지난 12개월간 탕감해준 횟수 / 탕감해준 횟수가 많을수록 부도확률이 높다.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purpose6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4.057259e-11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19"/>
                <w:szCs w:val="19"/>
                <w:rtl w:val="0"/>
              </w:rPr>
              <w:t xml:space="preserve">더미변수 중복</w:t>
            </w:r>
          </w:p>
        </w:tc>
      </w:tr>
      <w:tr>
        <w:trPr>
          <w:trHeight w:val="46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(-) Coef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tot_cur_bal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-5.939328e-07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전체 계좌 잔고 / 계좌 잔고가 높을수록 부도확률이 낮다.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last_fico_range_low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-7.503837e-07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신용등급이 높아질수록 부도확률이 낮아진다.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.7014160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total_pymnt_inv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-5.204809e-05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19"/>
                <w:szCs w:val="19"/>
                <w:rtl w:val="0"/>
              </w:rPr>
              <w:t xml:space="preserve">현재까지 투자자가 돌려받은 금액</w:t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total_pymnt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-5.207129e-05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현재까지 채무자가 납부한 총 금액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last_pymnt_amnt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-5.955070e-05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최근에 납부된 총액 / 남은 대출금+이자가 줄어서 부도확률이 낮아진다.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12121"/>
                <w:sz w:val="19"/>
                <w:szCs w:val="19"/>
                <w:rtl w:val="0"/>
              </w:rPr>
              <w:t xml:space="preserve">total_rec_prncp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color w:val="212121"/>
                <w:sz w:val="19"/>
                <w:szCs w:val="19"/>
                <w:rtl w:val="0"/>
              </w:rPr>
              <w:t xml:space="preserve">-9.437886e-05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color w:val="21212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현재까지 받은 원금 / 남은 대출금이 줄어서 부도확률이 낮아진다.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