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805" w:rsidRPr="00107FD2" w:rsidRDefault="000D5AA6" w:rsidP="000D5AA6">
      <w:pPr>
        <w:jc w:val="center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Tips for Analytical Reasoning </w:t>
      </w:r>
    </w:p>
    <w:p w:rsidR="00107FD2" w:rsidRDefault="00107FD2" w:rsidP="000D5AA6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107FD2">
        <w:rPr>
          <w:rFonts w:ascii="Trebuchet MS" w:hAnsi="Trebuchet MS"/>
          <w:sz w:val="20"/>
          <w:szCs w:val="20"/>
        </w:rPr>
        <w:t xml:space="preserve">Spend 5 – 10 minutes brainstorming the problem from each side. </w:t>
      </w:r>
    </w:p>
    <w:p w:rsidR="00107FD2" w:rsidRDefault="00107FD2" w:rsidP="000D5AA6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Prepare a T – chart with titles “For” and “Against”</w:t>
      </w:r>
    </w:p>
    <w:tbl>
      <w:tblPr>
        <w:tblStyle w:val="TableGrid"/>
        <w:tblW w:w="9940" w:type="dxa"/>
        <w:tblLook w:val="04A0" w:firstRow="1" w:lastRow="0" w:firstColumn="1" w:lastColumn="0" w:noHBand="0" w:noVBand="1"/>
      </w:tblPr>
      <w:tblGrid>
        <w:gridCol w:w="5390"/>
        <w:gridCol w:w="4550"/>
      </w:tblGrid>
      <w:tr w:rsidR="00D01F19" w:rsidTr="00411C98">
        <w:trPr>
          <w:trHeight w:val="46"/>
        </w:trPr>
        <w:tc>
          <w:tcPr>
            <w:tcW w:w="5390" w:type="dxa"/>
            <w:tcBorders>
              <w:top w:val="nil"/>
              <w:left w:val="nil"/>
              <w:bottom w:val="nil"/>
            </w:tcBorders>
          </w:tcPr>
          <w:p w:rsidR="00107FD2" w:rsidRPr="00411C98" w:rsidRDefault="00107FD2" w:rsidP="000D5AA6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411C98">
              <w:rPr>
                <w:rFonts w:ascii="Trebuchet MS" w:hAnsi="Trebuchet MS"/>
                <w:b/>
                <w:sz w:val="20"/>
                <w:szCs w:val="20"/>
              </w:rPr>
              <w:t>For</w:t>
            </w:r>
          </w:p>
        </w:tc>
        <w:tc>
          <w:tcPr>
            <w:tcW w:w="4550" w:type="dxa"/>
            <w:tcBorders>
              <w:top w:val="nil"/>
              <w:bottom w:val="nil"/>
              <w:right w:val="nil"/>
            </w:tcBorders>
          </w:tcPr>
          <w:p w:rsidR="00107FD2" w:rsidRPr="00411C98" w:rsidRDefault="00107FD2" w:rsidP="000D5AA6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411C98">
              <w:rPr>
                <w:rFonts w:ascii="Trebuchet MS" w:hAnsi="Trebuchet MS"/>
                <w:b/>
                <w:sz w:val="20"/>
                <w:szCs w:val="20"/>
              </w:rPr>
              <w:t>Against</w:t>
            </w:r>
          </w:p>
        </w:tc>
      </w:tr>
      <w:tr w:rsidR="00411C98" w:rsidTr="00411C98">
        <w:trPr>
          <w:trHeight w:val="87"/>
        </w:trPr>
        <w:tc>
          <w:tcPr>
            <w:tcW w:w="5390" w:type="dxa"/>
            <w:tcBorders>
              <w:top w:val="nil"/>
              <w:left w:val="nil"/>
              <w:bottom w:val="nil"/>
            </w:tcBorders>
          </w:tcPr>
          <w:p w:rsidR="00107FD2" w:rsidRDefault="00107FD2" w:rsidP="000D5AA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4550" w:type="dxa"/>
            <w:tcBorders>
              <w:top w:val="nil"/>
              <w:bottom w:val="nil"/>
              <w:right w:val="nil"/>
            </w:tcBorders>
          </w:tcPr>
          <w:p w:rsidR="00107FD2" w:rsidRDefault="00107FD2" w:rsidP="000D5AA6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107FD2" w:rsidRPr="00107FD2" w:rsidRDefault="00107FD2" w:rsidP="000D5AA6">
      <w:pPr>
        <w:jc w:val="both"/>
        <w:rPr>
          <w:rFonts w:ascii="Trebuchet MS" w:hAnsi="Trebuchet MS"/>
          <w:sz w:val="20"/>
          <w:szCs w:val="20"/>
        </w:rPr>
      </w:pPr>
    </w:p>
    <w:p w:rsidR="00107FD2" w:rsidRDefault="00107FD2" w:rsidP="000D5AA6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Jot down ideas that favor or negate the issue. </w:t>
      </w:r>
    </w:p>
    <w:p w:rsidR="00107FD2" w:rsidRDefault="00107FD2" w:rsidP="000D5AA6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107FD2">
        <w:rPr>
          <w:rFonts w:ascii="Trebuchet MS" w:hAnsi="Trebuchet MS"/>
          <w:sz w:val="20"/>
          <w:szCs w:val="20"/>
        </w:rPr>
        <w:t xml:space="preserve">Place appropriate </w:t>
      </w:r>
      <w:r>
        <w:rPr>
          <w:rFonts w:ascii="Trebuchet MS" w:hAnsi="Trebuchet MS"/>
          <w:sz w:val="20"/>
          <w:szCs w:val="20"/>
        </w:rPr>
        <w:t xml:space="preserve">example under each head. </w:t>
      </w:r>
    </w:p>
    <w:p w:rsidR="00107FD2" w:rsidRDefault="00107FD2" w:rsidP="000D5AA6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Organize response based on both “for” and “against” points. </w:t>
      </w:r>
    </w:p>
    <w:p w:rsidR="006F5805" w:rsidRDefault="006F5805" w:rsidP="000D5AA6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Divide the reasoning into separate parts, without jumbling argument.</w:t>
      </w:r>
    </w:p>
    <w:p w:rsidR="006F5805" w:rsidRDefault="006F5805" w:rsidP="000D5AA6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Use positive transitions like, “Likewise”, “Moreover” and “In addition” to reinforce argument.</w:t>
      </w:r>
    </w:p>
    <w:p w:rsidR="006F5805" w:rsidRDefault="006F5805" w:rsidP="000D5AA6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Use negative transitions like, “In contrast”, “Conversely” and “As opposed to” for comparison. </w:t>
      </w:r>
    </w:p>
    <w:p w:rsidR="006F5805" w:rsidRDefault="00107FD2" w:rsidP="000D5AA6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Conclude by taking a balanced approach towards the issue. </w:t>
      </w:r>
    </w:p>
    <w:p w:rsidR="00411C98" w:rsidRDefault="00411C98" w:rsidP="000D5AA6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Strategically place a quote to create maximum impression during presentation.</w:t>
      </w:r>
    </w:p>
    <w:p w:rsidR="00D01F19" w:rsidRPr="00411C98" w:rsidRDefault="00D01F19" w:rsidP="000D5AA6">
      <w:pPr>
        <w:pStyle w:val="ListParagraph"/>
        <w:jc w:val="both"/>
        <w:rPr>
          <w:rFonts w:ascii="Trebuchet MS" w:hAnsi="Trebuchet MS"/>
          <w:sz w:val="20"/>
          <w:szCs w:val="20"/>
        </w:rPr>
      </w:pPr>
      <w:r w:rsidRPr="00411C98">
        <w:rPr>
          <w:rFonts w:ascii="Trebuchet MS" w:hAnsi="Trebuchet MS"/>
          <w:sz w:val="20"/>
          <w:szCs w:val="20"/>
        </w:rPr>
        <w:tab/>
      </w:r>
    </w:p>
    <w:p w:rsidR="00D01F19" w:rsidRDefault="00D01F19" w:rsidP="000D5AA6">
      <w:pPr>
        <w:pStyle w:val="ListParagraph"/>
        <w:tabs>
          <w:tab w:val="left" w:pos="1792"/>
        </w:tabs>
        <w:ind w:left="0"/>
        <w:jc w:val="both"/>
        <w:rPr>
          <w:rFonts w:ascii="Trebuchet MS" w:hAnsi="Trebuchet MS"/>
          <w:i/>
          <w:sz w:val="20"/>
          <w:szCs w:val="20"/>
        </w:rPr>
      </w:pPr>
      <w:r w:rsidRPr="00411C98">
        <w:rPr>
          <w:rFonts w:ascii="Trebuchet MS" w:hAnsi="Trebuchet MS"/>
          <w:i/>
          <w:sz w:val="20"/>
          <w:szCs w:val="20"/>
        </w:rPr>
        <w:t xml:space="preserve">Example </w:t>
      </w:r>
    </w:p>
    <w:p w:rsidR="00411C98" w:rsidRPr="00411C98" w:rsidRDefault="00411C98" w:rsidP="000D5AA6">
      <w:pPr>
        <w:pStyle w:val="ListParagraph"/>
        <w:tabs>
          <w:tab w:val="left" w:pos="1792"/>
        </w:tabs>
        <w:ind w:left="0"/>
        <w:jc w:val="both"/>
        <w:rPr>
          <w:rFonts w:ascii="Trebuchet MS" w:hAnsi="Trebuchet MS"/>
          <w:i/>
          <w:sz w:val="20"/>
          <w:szCs w:val="20"/>
        </w:rPr>
      </w:pPr>
    </w:p>
    <w:p w:rsidR="006F5805" w:rsidRPr="006F5805" w:rsidRDefault="006F5805" w:rsidP="000D5AA6">
      <w:pPr>
        <w:pStyle w:val="ListParagraph"/>
        <w:numPr>
          <w:ilvl w:val="0"/>
          <w:numId w:val="3"/>
        </w:numPr>
        <w:jc w:val="both"/>
        <w:rPr>
          <w:rFonts w:ascii="Trebuchet MS" w:hAnsi="Trebuchet MS"/>
          <w:sz w:val="20"/>
          <w:szCs w:val="20"/>
        </w:rPr>
      </w:pPr>
      <w:r w:rsidRPr="006F5805">
        <w:rPr>
          <w:rFonts w:ascii="Trebuchet MS" w:hAnsi="Trebuchet MS"/>
          <w:b/>
          <w:sz w:val="20"/>
          <w:szCs w:val="20"/>
        </w:rPr>
        <w:t>The Problem</w:t>
      </w:r>
      <w:r w:rsidRPr="006F5805">
        <w:rPr>
          <w:rFonts w:ascii="Trebuchet MS" w:hAnsi="Trebuchet MS"/>
          <w:sz w:val="20"/>
          <w:szCs w:val="20"/>
        </w:rPr>
        <w:t xml:space="preserve"> - </w:t>
      </w:r>
    </w:p>
    <w:p w:rsidR="006F5805" w:rsidRDefault="006F5805" w:rsidP="000D5AA6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“</w:t>
      </w:r>
      <w:r w:rsidRPr="00411C98">
        <w:rPr>
          <w:rFonts w:ascii="Trebuchet MS" w:hAnsi="Trebuchet MS"/>
          <w:i/>
          <w:sz w:val="20"/>
          <w:szCs w:val="20"/>
        </w:rPr>
        <w:t>Is war the only tool against terrorism</w:t>
      </w:r>
      <w:r>
        <w:rPr>
          <w:rFonts w:ascii="Trebuchet MS" w:hAnsi="Trebuchet MS"/>
          <w:sz w:val="20"/>
          <w:szCs w:val="20"/>
        </w:rPr>
        <w:t xml:space="preserve">?” </w:t>
      </w:r>
    </w:p>
    <w:p w:rsidR="006F5805" w:rsidRPr="006F5805" w:rsidRDefault="006F5805" w:rsidP="000D5AA6">
      <w:pPr>
        <w:pStyle w:val="ListParagraph"/>
        <w:numPr>
          <w:ilvl w:val="0"/>
          <w:numId w:val="3"/>
        </w:numPr>
        <w:jc w:val="both"/>
        <w:rPr>
          <w:rFonts w:ascii="Trebuchet MS" w:hAnsi="Trebuchet MS"/>
          <w:b/>
          <w:sz w:val="20"/>
          <w:szCs w:val="20"/>
        </w:rPr>
      </w:pPr>
      <w:r w:rsidRPr="006F5805">
        <w:rPr>
          <w:rFonts w:ascii="Trebuchet MS" w:hAnsi="Trebuchet MS"/>
          <w:b/>
          <w:sz w:val="20"/>
          <w:szCs w:val="20"/>
        </w:rPr>
        <w:t xml:space="preserve">The Approach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4"/>
        <w:gridCol w:w="3733"/>
      </w:tblGrid>
      <w:tr w:rsidR="00AC0B4B" w:rsidTr="00D01F19">
        <w:trPr>
          <w:trHeight w:val="342"/>
        </w:trPr>
        <w:tc>
          <w:tcPr>
            <w:tcW w:w="5404" w:type="dxa"/>
            <w:tcBorders>
              <w:top w:val="nil"/>
              <w:left w:val="nil"/>
              <w:bottom w:val="nil"/>
            </w:tcBorders>
          </w:tcPr>
          <w:p w:rsidR="006F5805" w:rsidRPr="00411C98" w:rsidRDefault="006F5805" w:rsidP="000D5AA6">
            <w:pPr>
              <w:tabs>
                <w:tab w:val="left" w:pos="3132"/>
              </w:tabs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              </w:t>
            </w:r>
            <w:r w:rsidR="00D01F19">
              <w:rPr>
                <w:rFonts w:ascii="Trebuchet MS" w:hAnsi="Trebuchet MS"/>
                <w:b/>
                <w:sz w:val="20"/>
                <w:szCs w:val="20"/>
              </w:rPr>
              <w:t xml:space="preserve">                   </w:t>
            </w:r>
            <w:r w:rsidR="00D01F19" w:rsidRPr="00411C98">
              <w:rPr>
                <w:rFonts w:ascii="Trebuchet MS" w:hAnsi="Trebuchet MS"/>
                <w:i/>
                <w:sz w:val="20"/>
                <w:szCs w:val="20"/>
              </w:rPr>
              <w:t xml:space="preserve"> </w:t>
            </w:r>
            <w:r w:rsidRPr="00411C98">
              <w:rPr>
                <w:rFonts w:ascii="Trebuchet MS" w:hAnsi="Trebuchet MS"/>
                <w:b/>
                <w:sz w:val="20"/>
                <w:szCs w:val="20"/>
              </w:rPr>
              <w:t xml:space="preserve">For </w:t>
            </w:r>
          </w:p>
        </w:tc>
        <w:tc>
          <w:tcPr>
            <w:tcW w:w="3733" w:type="dxa"/>
            <w:tcBorders>
              <w:top w:val="nil"/>
              <w:bottom w:val="nil"/>
              <w:right w:val="nil"/>
            </w:tcBorders>
          </w:tcPr>
          <w:p w:rsidR="006F5805" w:rsidRPr="00411C98" w:rsidRDefault="006F5805" w:rsidP="000D5AA6">
            <w:pPr>
              <w:ind w:left="68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411C98">
              <w:rPr>
                <w:rFonts w:ascii="Trebuchet MS" w:hAnsi="Trebuchet MS"/>
                <w:b/>
                <w:sz w:val="20"/>
                <w:szCs w:val="20"/>
              </w:rPr>
              <w:t xml:space="preserve">               </w:t>
            </w:r>
            <w:r w:rsidR="00D01F19" w:rsidRPr="00411C98">
              <w:rPr>
                <w:rFonts w:ascii="Trebuchet MS" w:hAnsi="Trebuchet MS"/>
                <w:b/>
                <w:sz w:val="20"/>
                <w:szCs w:val="20"/>
              </w:rPr>
              <w:t xml:space="preserve">            </w:t>
            </w:r>
            <w:r w:rsidRPr="00411C98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 w:rsidR="00D01F19" w:rsidRPr="00411C98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 w:rsidRPr="00411C98">
              <w:rPr>
                <w:rFonts w:ascii="Trebuchet MS" w:hAnsi="Trebuchet MS"/>
                <w:b/>
                <w:sz w:val="20"/>
                <w:szCs w:val="20"/>
              </w:rPr>
              <w:t xml:space="preserve">Against </w:t>
            </w:r>
          </w:p>
          <w:p w:rsidR="00AC0B4B" w:rsidRPr="00107FD2" w:rsidRDefault="00AC0B4B" w:rsidP="000D5AA6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AC0B4B" w:rsidTr="00AC0B4B">
        <w:trPr>
          <w:trHeight w:val="1782"/>
        </w:trPr>
        <w:tc>
          <w:tcPr>
            <w:tcW w:w="5404" w:type="dxa"/>
            <w:tcBorders>
              <w:top w:val="nil"/>
              <w:left w:val="nil"/>
              <w:bottom w:val="nil"/>
            </w:tcBorders>
          </w:tcPr>
          <w:p w:rsidR="006F5805" w:rsidRDefault="00AC0B4B" w:rsidP="000D5AA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War provides immediate solution</w:t>
            </w:r>
          </w:p>
          <w:p w:rsidR="00AC0B4B" w:rsidRDefault="00AC0B4B" w:rsidP="000D5AA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Dialogues allow militants to regroup</w:t>
            </w:r>
          </w:p>
          <w:p w:rsidR="00AC0B4B" w:rsidRDefault="00D01F19" w:rsidP="000D5AA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Writ</w:t>
            </w:r>
            <w:r w:rsidR="00AC0B4B">
              <w:rPr>
                <w:rFonts w:ascii="Trebuchet MS" w:hAnsi="Trebuchet MS"/>
                <w:sz w:val="20"/>
                <w:szCs w:val="20"/>
              </w:rPr>
              <w:t xml:space="preserve"> of state is reinforced</w:t>
            </w:r>
          </w:p>
          <w:p w:rsidR="00AC0B4B" w:rsidRDefault="00AC0B4B" w:rsidP="000D5AA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Morale of armed forces is not compromised</w:t>
            </w:r>
          </w:p>
          <w:p w:rsidR="00AC0B4B" w:rsidRDefault="00AC0B4B" w:rsidP="000D5AA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Attack is the best defense</w:t>
            </w:r>
          </w:p>
          <w:p w:rsidR="00D01F19" w:rsidRPr="00D01F19" w:rsidRDefault="00D01F19" w:rsidP="000D5AA6">
            <w:pPr>
              <w:pStyle w:val="ListParagraph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AC0B4B" w:rsidRPr="00411C98" w:rsidRDefault="00AC0B4B" w:rsidP="000D5AA6">
            <w:pPr>
              <w:jc w:val="both"/>
              <w:rPr>
                <w:rFonts w:ascii="Trebuchet MS" w:hAnsi="Trebuchet MS"/>
                <w:i/>
                <w:sz w:val="20"/>
                <w:szCs w:val="20"/>
              </w:rPr>
            </w:pPr>
            <w:r w:rsidRPr="00411C98">
              <w:rPr>
                <w:rFonts w:ascii="Trebuchet MS" w:hAnsi="Trebuchet MS"/>
                <w:i/>
                <w:sz w:val="20"/>
                <w:szCs w:val="20"/>
              </w:rPr>
              <w:t xml:space="preserve">Example – </w:t>
            </w:r>
          </w:p>
          <w:p w:rsidR="00D01F19" w:rsidRDefault="00D01F19" w:rsidP="000D5AA6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AC0B4B" w:rsidRPr="00AC0B4B" w:rsidRDefault="00AC0B4B" w:rsidP="000D5A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C0B4B">
              <w:rPr>
                <w:rFonts w:ascii="Trebuchet MS" w:hAnsi="Trebuchet MS"/>
                <w:sz w:val="20"/>
                <w:szCs w:val="20"/>
              </w:rPr>
              <w:t xml:space="preserve">The Sri Lankan army defeated </w:t>
            </w:r>
            <w:r w:rsidRPr="00411C98">
              <w:rPr>
                <w:rFonts w:ascii="Trebuchet MS" w:hAnsi="Trebuchet MS"/>
                <w:i/>
                <w:sz w:val="20"/>
                <w:szCs w:val="20"/>
              </w:rPr>
              <w:t xml:space="preserve">The Liberation Tigers of Tamil Eelam </w:t>
            </w:r>
            <w:r w:rsidRPr="00AC0B4B">
              <w:rPr>
                <w:rFonts w:ascii="Trebuchet MS" w:hAnsi="Trebuchet MS"/>
                <w:sz w:val="20"/>
                <w:szCs w:val="20"/>
              </w:rPr>
              <w:t xml:space="preserve">(LTTE) through military assault. </w:t>
            </w:r>
          </w:p>
          <w:p w:rsidR="00AC0B4B" w:rsidRDefault="00AC0B4B" w:rsidP="000D5AA6">
            <w:pPr>
              <w:pStyle w:val="ListParagraph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AC0B4B" w:rsidRPr="00AC0B4B" w:rsidRDefault="00AC0B4B" w:rsidP="000D5A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Military operation is Swat, substantially reduced attacks on civilians inside settled </w:t>
            </w:r>
            <w:r w:rsidR="00D01F19">
              <w:rPr>
                <w:rFonts w:ascii="Trebuchet MS" w:hAnsi="Trebuchet MS"/>
                <w:sz w:val="20"/>
                <w:szCs w:val="20"/>
              </w:rPr>
              <w:t>areas by 25%</w:t>
            </w:r>
          </w:p>
        </w:tc>
        <w:tc>
          <w:tcPr>
            <w:tcW w:w="3733" w:type="dxa"/>
            <w:tcBorders>
              <w:top w:val="nil"/>
              <w:bottom w:val="nil"/>
              <w:right w:val="nil"/>
            </w:tcBorders>
          </w:tcPr>
          <w:p w:rsidR="00AC0B4B" w:rsidRDefault="00AC0B4B" w:rsidP="000D5A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F5805">
              <w:rPr>
                <w:rFonts w:ascii="Trebuchet MS" w:hAnsi="Trebuchet MS"/>
                <w:sz w:val="20"/>
                <w:szCs w:val="20"/>
              </w:rPr>
              <w:t xml:space="preserve">War is costly </w:t>
            </w:r>
          </w:p>
          <w:p w:rsidR="00AC0B4B" w:rsidRDefault="00AC0B4B" w:rsidP="000D5A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War involves bloodshed</w:t>
            </w:r>
          </w:p>
          <w:p w:rsidR="00AC0B4B" w:rsidRDefault="00AC0B4B" w:rsidP="000D5A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Negotiations can help address problems</w:t>
            </w:r>
          </w:p>
          <w:p w:rsidR="00AC0B4B" w:rsidRPr="00AC0B4B" w:rsidRDefault="00AC0B4B" w:rsidP="000D5A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C0B4B">
              <w:rPr>
                <w:rFonts w:ascii="Trebuchet MS" w:hAnsi="Trebuchet MS"/>
                <w:sz w:val="20"/>
                <w:szCs w:val="20"/>
              </w:rPr>
              <w:t>Internally displaced people</w:t>
            </w:r>
          </w:p>
          <w:p w:rsidR="00AC0B4B" w:rsidRDefault="00AC0B4B" w:rsidP="000D5A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Damage to infrastructure</w:t>
            </w:r>
          </w:p>
          <w:p w:rsidR="00AC0B4B" w:rsidRDefault="00AC0B4B" w:rsidP="000D5A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Resentment </w:t>
            </w:r>
            <w:r w:rsidR="00411C98">
              <w:rPr>
                <w:rFonts w:ascii="Trebuchet MS" w:hAnsi="Trebuchet MS"/>
                <w:sz w:val="20"/>
                <w:szCs w:val="20"/>
              </w:rPr>
              <w:t>leads</w:t>
            </w:r>
            <w:r>
              <w:rPr>
                <w:rFonts w:ascii="Trebuchet MS" w:hAnsi="Trebuchet MS"/>
                <w:sz w:val="20"/>
                <w:szCs w:val="20"/>
              </w:rPr>
              <w:t xml:space="preserve"> to increase in violence</w:t>
            </w:r>
          </w:p>
          <w:p w:rsidR="00AC0B4B" w:rsidRPr="00AC0B4B" w:rsidRDefault="00AC0B4B" w:rsidP="000D5AA6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D01F19" w:rsidRPr="00411C98" w:rsidRDefault="00AC0B4B" w:rsidP="000D5AA6">
            <w:pPr>
              <w:jc w:val="both"/>
              <w:rPr>
                <w:rFonts w:ascii="Trebuchet MS" w:hAnsi="Trebuchet MS"/>
                <w:i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411C98">
              <w:rPr>
                <w:rFonts w:ascii="Trebuchet MS" w:hAnsi="Trebuchet MS"/>
                <w:i/>
                <w:sz w:val="20"/>
                <w:szCs w:val="20"/>
              </w:rPr>
              <w:t xml:space="preserve">Example – </w:t>
            </w:r>
          </w:p>
          <w:p w:rsidR="00D01F19" w:rsidRDefault="00D01F19" w:rsidP="000D5AA6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6F5805" w:rsidRPr="00D01F19" w:rsidRDefault="00AC0B4B" w:rsidP="000D5AA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D01F19">
              <w:rPr>
                <w:rFonts w:ascii="Trebuchet MS" w:hAnsi="Trebuchet MS"/>
                <w:sz w:val="20"/>
                <w:szCs w:val="20"/>
              </w:rPr>
              <w:t xml:space="preserve">The Irish Republican Army (IRA) a terrorist organization negotiated settlement with UK and peace was restored. </w:t>
            </w:r>
          </w:p>
        </w:tc>
      </w:tr>
    </w:tbl>
    <w:p w:rsidR="00D01F19" w:rsidRDefault="00D01F19" w:rsidP="000D5AA6">
      <w:pPr>
        <w:tabs>
          <w:tab w:val="left" w:pos="2730"/>
        </w:tabs>
        <w:jc w:val="both"/>
        <w:rPr>
          <w:rFonts w:ascii="Trebuchet MS" w:hAnsi="Trebuchet MS"/>
          <w:b/>
          <w:sz w:val="20"/>
          <w:szCs w:val="20"/>
        </w:rPr>
      </w:pPr>
    </w:p>
    <w:p w:rsidR="006F5805" w:rsidRPr="00411C98" w:rsidRDefault="00AC0B4B" w:rsidP="000D5AA6">
      <w:pPr>
        <w:pStyle w:val="ListParagraph"/>
        <w:numPr>
          <w:ilvl w:val="0"/>
          <w:numId w:val="3"/>
        </w:numPr>
        <w:tabs>
          <w:tab w:val="left" w:pos="2730"/>
        </w:tabs>
        <w:jc w:val="both"/>
        <w:rPr>
          <w:rFonts w:ascii="Trebuchet MS" w:hAnsi="Trebuchet MS"/>
          <w:b/>
          <w:sz w:val="20"/>
          <w:szCs w:val="20"/>
        </w:rPr>
      </w:pPr>
      <w:r w:rsidRPr="00411C98">
        <w:rPr>
          <w:rFonts w:ascii="Trebuchet MS" w:hAnsi="Trebuchet MS"/>
          <w:b/>
          <w:sz w:val="20"/>
          <w:szCs w:val="20"/>
        </w:rPr>
        <w:t xml:space="preserve">The Response – </w:t>
      </w:r>
    </w:p>
    <w:p w:rsidR="000D5AA6" w:rsidRPr="00411C98" w:rsidRDefault="00411C98" w:rsidP="000D5AA6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i/>
          <w:sz w:val="20"/>
          <w:szCs w:val="20"/>
        </w:rPr>
        <w:t>“</w:t>
      </w:r>
      <w:r w:rsidRPr="00411C98">
        <w:rPr>
          <w:rFonts w:ascii="Trebuchet MS" w:hAnsi="Trebuchet MS"/>
          <w:i/>
          <w:sz w:val="20"/>
          <w:szCs w:val="20"/>
        </w:rPr>
        <w:t>Next to a battle lost, the saddest thing is a battle won</w:t>
      </w:r>
      <w:r>
        <w:rPr>
          <w:rFonts w:ascii="Trebuchet MS" w:hAnsi="Trebuchet MS"/>
          <w:i/>
          <w:sz w:val="20"/>
          <w:szCs w:val="20"/>
        </w:rPr>
        <w:t>”</w:t>
      </w:r>
      <w:r w:rsidRPr="00411C98">
        <w:rPr>
          <w:rFonts w:ascii="Trebuchet MS" w:hAnsi="Trebuchet MS"/>
          <w:sz w:val="20"/>
          <w:szCs w:val="20"/>
        </w:rPr>
        <w:t xml:space="preserve"> ~ Duke of Wellington</w:t>
      </w:r>
    </w:p>
    <w:p w:rsidR="00AC0B4B" w:rsidRPr="00AC0B4B" w:rsidRDefault="00AC0B4B" w:rsidP="000D5AA6">
      <w:pPr>
        <w:tabs>
          <w:tab w:val="left" w:pos="2730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Terrorism can be solved through various options. Admittedly, war provides immediate solution as militants are not provided with space t</w:t>
      </w:r>
      <w:r w:rsidR="00D01F19">
        <w:rPr>
          <w:rFonts w:ascii="Trebuchet MS" w:hAnsi="Trebuchet MS"/>
          <w:sz w:val="20"/>
          <w:szCs w:val="20"/>
        </w:rPr>
        <w:t>o regroup. Furthermore, the writ</w:t>
      </w:r>
      <w:r>
        <w:rPr>
          <w:rFonts w:ascii="Trebuchet MS" w:hAnsi="Trebuchet MS"/>
          <w:sz w:val="20"/>
          <w:szCs w:val="20"/>
        </w:rPr>
        <w:t xml:space="preserve"> of the state is reinforced. However, war is costly and involves bloodshed. </w:t>
      </w:r>
      <w:r w:rsidR="00D01F19">
        <w:rPr>
          <w:rFonts w:ascii="Trebuchet MS" w:hAnsi="Trebuchet MS"/>
          <w:sz w:val="20"/>
          <w:szCs w:val="20"/>
        </w:rPr>
        <w:t>Other suitable means should be adopted to resolve problems. This includes dialogue. An example of successful dialogue is of IRA and</w:t>
      </w:r>
      <w:r w:rsidR="000D5AA6">
        <w:rPr>
          <w:rFonts w:ascii="Trebuchet MS" w:hAnsi="Trebuchet MS"/>
          <w:sz w:val="20"/>
          <w:szCs w:val="20"/>
        </w:rPr>
        <w:t xml:space="preserve"> the</w:t>
      </w:r>
      <w:r w:rsidR="00D01F19">
        <w:rPr>
          <w:rFonts w:ascii="Trebuchet MS" w:hAnsi="Trebuchet MS"/>
          <w:sz w:val="20"/>
          <w:szCs w:val="20"/>
        </w:rPr>
        <w:t xml:space="preserve"> Government</w:t>
      </w:r>
      <w:r w:rsidR="000D5AA6">
        <w:rPr>
          <w:rFonts w:ascii="Trebuchet MS" w:hAnsi="Trebuchet MS"/>
          <w:sz w:val="20"/>
          <w:szCs w:val="20"/>
        </w:rPr>
        <w:t xml:space="preserve"> of UK</w:t>
      </w:r>
      <w:r w:rsidR="00D01F19">
        <w:rPr>
          <w:rFonts w:ascii="Trebuchet MS" w:hAnsi="Trebuchet MS"/>
          <w:sz w:val="20"/>
          <w:szCs w:val="20"/>
        </w:rPr>
        <w:t xml:space="preserve">. It is therefore suggested that Government first achieves peace through “use </w:t>
      </w:r>
      <w:r w:rsidR="00411C98">
        <w:rPr>
          <w:rFonts w:ascii="Trebuchet MS" w:hAnsi="Trebuchet MS"/>
          <w:sz w:val="20"/>
          <w:szCs w:val="20"/>
        </w:rPr>
        <w:t>of targeted</w:t>
      </w:r>
      <w:r w:rsidR="00D01F19">
        <w:rPr>
          <w:rFonts w:ascii="Trebuchet MS" w:hAnsi="Trebuchet MS"/>
          <w:sz w:val="20"/>
          <w:szCs w:val="20"/>
        </w:rPr>
        <w:t xml:space="preserve"> force”. Afterwards, through n</w:t>
      </w:r>
      <w:r w:rsidR="000D5AA6">
        <w:rPr>
          <w:rFonts w:ascii="Trebuchet MS" w:hAnsi="Trebuchet MS"/>
          <w:sz w:val="20"/>
          <w:szCs w:val="20"/>
        </w:rPr>
        <w:t>egotiations a peaceful solution</w:t>
      </w:r>
      <w:r w:rsidR="00D01F19">
        <w:rPr>
          <w:rFonts w:ascii="Trebuchet MS" w:hAnsi="Trebuchet MS"/>
          <w:sz w:val="20"/>
          <w:szCs w:val="20"/>
        </w:rPr>
        <w:t xml:space="preserve"> should be achieved.  Through this collateral damage would be minimized. The issue of Internally Displaced People (IDPs) would also be addressed, as ultimately people will be repatriated. </w:t>
      </w:r>
      <w:r w:rsidR="00411C98">
        <w:rPr>
          <w:rFonts w:ascii="Trebuchet MS" w:hAnsi="Trebuchet MS"/>
          <w:sz w:val="20"/>
          <w:szCs w:val="20"/>
        </w:rPr>
        <w:t xml:space="preserve"> A holistic approach to the problem is therefore, suggested. </w:t>
      </w:r>
      <w:bookmarkStart w:id="0" w:name="_GoBack"/>
      <w:bookmarkEnd w:id="0"/>
    </w:p>
    <w:sectPr w:rsidR="00AC0B4B" w:rsidRPr="00AC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139D"/>
    <w:multiLevelType w:val="hybridMultilevel"/>
    <w:tmpl w:val="93244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C739D"/>
    <w:multiLevelType w:val="hybridMultilevel"/>
    <w:tmpl w:val="6E2C1A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60E65"/>
    <w:multiLevelType w:val="hybridMultilevel"/>
    <w:tmpl w:val="931C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64B88"/>
    <w:multiLevelType w:val="hybridMultilevel"/>
    <w:tmpl w:val="4D32E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7627C"/>
    <w:multiLevelType w:val="hybridMultilevel"/>
    <w:tmpl w:val="93244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CF53B1"/>
    <w:multiLevelType w:val="hybridMultilevel"/>
    <w:tmpl w:val="F1F6EF14"/>
    <w:lvl w:ilvl="0" w:tplc="CF9E969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0461A"/>
    <w:multiLevelType w:val="hybridMultilevel"/>
    <w:tmpl w:val="FADC8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436"/>
    <w:rsid w:val="000D5AA6"/>
    <w:rsid w:val="00107FD2"/>
    <w:rsid w:val="002B1C9D"/>
    <w:rsid w:val="00411C98"/>
    <w:rsid w:val="006F5805"/>
    <w:rsid w:val="009C10B9"/>
    <w:rsid w:val="009F5904"/>
    <w:rsid w:val="00A23436"/>
    <w:rsid w:val="00A319A5"/>
    <w:rsid w:val="00AC0B4B"/>
    <w:rsid w:val="00B27904"/>
    <w:rsid w:val="00D0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FD2"/>
    <w:pPr>
      <w:ind w:left="720"/>
      <w:contextualSpacing/>
    </w:pPr>
  </w:style>
  <w:style w:type="table" w:styleId="TableGrid">
    <w:name w:val="Table Grid"/>
    <w:basedOn w:val="TableNormal"/>
    <w:uiPriority w:val="39"/>
    <w:rsid w:val="00107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FD2"/>
    <w:pPr>
      <w:ind w:left="720"/>
      <w:contextualSpacing/>
    </w:pPr>
  </w:style>
  <w:style w:type="table" w:styleId="TableGrid">
    <w:name w:val="Table Grid"/>
    <w:basedOn w:val="TableNormal"/>
    <w:uiPriority w:val="39"/>
    <w:rsid w:val="00107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daniyal javed</dc:creator>
  <cp:lastModifiedBy>Malik Zohaib Ali</cp:lastModifiedBy>
  <cp:revision>2</cp:revision>
  <dcterms:created xsi:type="dcterms:W3CDTF">2014-10-13T04:08:00Z</dcterms:created>
  <dcterms:modified xsi:type="dcterms:W3CDTF">2014-10-13T04:08:00Z</dcterms:modified>
</cp:coreProperties>
</file>