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B89C" w14:textId="4CB10F96" w:rsidR="009D20A5" w:rsidRPr="00FF06AE" w:rsidRDefault="009D20A5" w:rsidP="00FF06AE">
      <w:pPr>
        <w:rPr>
          <w:rFonts w:ascii="Palatino Linotype" w:hAnsi="Palatino Linotype"/>
        </w:rPr>
      </w:pPr>
      <w:r w:rsidRPr="006871C7">
        <w:rPr>
          <w:rFonts w:ascii="Palatino Linotype" w:hAnsi="Palatino Linotype"/>
        </w:rPr>
        <w:t xml:space="preserve">October </w:t>
      </w:r>
      <w:r w:rsidR="00A02829">
        <w:rPr>
          <w:rFonts w:ascii="Palatino Linotype" w:hAnsi="Palatino Linotype"/>
        </w:rPr>
        <w:t>21</w:t>
      </w:r>
      <w:r w:rsidR="006D4167">
        <w:rPr>
          <w:rFonts w:ascii="Palatino Linotype" w:hAnsi="Palatino Linotype"/>
        </w:rPr>
        <w:t>,</w:t>
      </w:r>
      <w:r w:rsidRPr="006871C7">
        <w:rPr>
          <w:rFonts w:ascii="Palatino Linotype" w:hAnsi="Palatino Linotype"/>
        </w:rPr>
        <w:t xml:space="preserve"> 2023</w:t>
      </w:r>
    </w:p>
    <w:p w14:paraId="159B0055" w14:textId="06BC0037" w:rsidR="006871C7" w:rsidRDefault="006871C7" w:rsidP="00A02829">
      <w:pPr>
        <w:pStyle w:val="NoSpacing"/>
        <w:rPr>
          <w:rFonts w:ascii="Palatino Linotype" w:hAnsi="Palatino Linotype"/>
        </w:rPr>
      </w:pPr>
      <w:r w:rsidRPr="006871C7">
        <w:rPr>
          <w:rFonts w:ascii="Palatino Linotype" w:hAnsi="Palatino Linotype"/>
        </w:rPr>
        <w:t xml:space="preserve">University of </w:t>
      </w:r>
      <w:r w:rsidR="00FF06AE">
        <w:rPr>
          <w:rFonts w:ascii="Palatino Linotype" w:hAnsi="Palatino Linotype"/>
        </w:rPr>
        <w:t>Wisconsin-Madison</w:t>
      </w:r>
    </w:p>
    <w:p w14:paraId="2221D26E" w14:textId="18B4F0D9" w:rsidR="00FF06AE" w:rsidRDefault="00FF06AE" w:rsidP="00A02829">
      <w:pPr>
        <w:pStyle w:val="NoSpacing"/>
        <w:rPr>
          <w:rFonts w:ascii="Palatino Linotype" w:hAnsi="Palatino Linotype"/>
        </w:rPr>
      </w:pPr>
      <w:r>
        <w:rPr>
          <w:rFonts w:ascii="Palatino Linotype" w:hAnsi="Palatino Linotype"/>
        </w:rPr>
        <w:t>La Follette School of Public Affairs</w:t>
      </w:r>
    </w:p>
    <w:p w14:paraId="3E5276A3" w14:textId="0F1B9259" w:rsidR="00FF06AE" w:rsidRDefault="00FF06AE" w:rsidP="00A02829">
      <w:pPr>
        <w:pStyle w:val="NoSpacing"/>
        <w:rPr>
          <w:rFonts w:ascii="Palatino Linotype" w:hAnsi="Palatino Linotype"/>
        </w:rPr>
      </w:pPr>
      <w:r>
        <w:rPr>
          <w:rFonts w:ascii="Palatino Linotype" w:hAnsi="Palatino Linotype"/>
        </w:rPr>
        <w:t>1</w:t>
      </w:r>
      <w:r w:rsidR="009B212E">
        <w:rPr>
          <w:rFonts w:ascii="Palatino Linotype" w:hAnsi="Palatino Linotype"/>
        </w:rPr>
        <w:t>2</w:t>
      </w:r>
      <w:r w:rsidR="0024699A">
        <w:rPr>
          <w:rFonts w:ascii="Palatino Linotype" w:hAnsi="Palatino Linotype"/>
        </w:rPr>
        <w:t xml:space="preserve">25 </w:t>
      </w:r>
      <w:r>
        <w:rPr>
          <w:rFonts w:ascii="Palatino Linotype" w:hAnsi="Palatino Linotype"/>
        </w:rPr>
        <w:t>Observatory Drive</w:t>
      </w:r>
    </w:p>
    <w:p w14:paraId="09E41849" w14:textId="7D2B6F4A" w:rsidR="009D20A5" w:rsidRDefault="00FF06AE" w:rsidP="00FF06AE">
      <w:pPr>
        <w:pStyle w:val="NoSpacing"/>
        <w:rPr>
          <w:rFonts w:ascii="Palatino Linotype" w:hAnsi="Palatino Linotype"/>
        </w:rPr>
      </w:pPr>
      <w:r>
        <w:rPr>
          <w:rFonts w:ascii="Palatino Linotype" w:hAnsi="Palatino Linotype"/>
        </w:rPr>
        <w:t>Madison, WI 5</w:t>
      </w:r>
      <w:r w:rsidR="0024699A">
        <w:rPr>
          <w:rFonts w:ascii="Palatino Linotype" w:hAnsi="Palatino Linotype"/>
        </w:rPr>
        <w:t>3</w:t>
      </w:r>
      <w:r>
        <w:rPr>
          <w:rFonts w:ascii="Palatino Linotype" w:hAnsi="Palatino Linotype"/>
        </w:rPr>
        <w:t>706</w:t>
      </w:r>
    </w:p>
    <w:p w14:paraId="30EE0256" w14:textId="77777777" w:rsidR="00FF06AE" w:rsidRPr="006871C7" w:rsidRDefault="00FF06AE" w:rsidP="00FF06AE">
      <w:pPr>
        <w:pStyle w:val="NoSpacing"/>
        <w:rPr>
          <w:rFonts w:ascii="Palatino Linotype" w:hAnsi="Palatino Linotype"/>
        </w:rPr>
      </w:pPr>
    </w:p>
    <w:p w14:paraId="2CB2DBFF" w14:textId="3726CF1F" w:rsidR="006871C7" w:rsidRPr="006871C7" w:rsidRDefault="008B3B21" w:rsidP="006871C7">
      <w:pPr>
        <w:rPr>
          <w:rFonts w:ascii="Palatino Linotype" w:hAnsi="Palatino Linotype"/>
        </w:rPr>
      </w:pPr>
      <w:r w:rsidRPr="006871C7">
        <w:rPr>
          <w:rFonts w:ascii="Palatino Linotype" w:hAnsi="Palatino Linotype"/>
        </w:rPr>
        <w:t>To Whom it May Concern:</w:t>
      </w:r>
    </w:p>
    <w:p w14:paraId="11085DE6" w14:textId="62D66111" w:rsidR="00A81D63" w:rsidRDefault="008B3B21" w:rsidP="006871C7">
      <w:pPr>
        <w:rPr>
          <w:rFonts w:ascii="Palatino Linotype" w:hAnsi="Palatino Linotype"/>
        </w:rPr>
      </w:pPr>
      <w:r w:rsidRPr="006871C7">
        <w:rPr>
          <w:rFonts w:ascii="Palatino Linotype" w:hAnsi="Palatino Linotype"/>
        </w:rPr>
        <w:t xml:space="preserve">I am applying to the position of Assistant Professor </w:t>
      </w:r>
      <w:r w:rsidR="0037714A">
        <w:rPr>
          <w:rFonts w:ascii="Palatino Linotype" w:hAnsi="Palatino Linotype"/>
        </w:rPr>
        <w:t xml:space="preserve">of Poverty &amp; Public Policy in the La Follette School of Public Affairs at the University of Wisconsin-Madison. </w:t>
      </w:r>
      <w:r w:rsidR="006871C7">
        <w:rPr>
          <w:rFonts w:ascii="Palatino Linotype" w:hAnsi="Palatino Linotype"/>
        </w:rPr>
        <w:t xml:space="preserve"> </w:t>
      </w:r>
    </w:p>
    <w:p w14:paraId="40AF3B8D" w14:textId="0BB0BAA9" w:rsidR="009D3146" w:rsidRPr="009D3146" w:rsidRDefault="00FE3A5B" w:rsidP="006871C7">
      <w:pPr>
        <w:rPr>
          <w:rFonts w:ascii="Palatino Linotype" w:hAnsi="Palatino Linotype"/>
          <w:b/>
          <w:bCs/>
        </w:rPr>
      </w:pPr>
      <w:r>
        <w:rPr>
          <w:rFonts w:ascii="Palatino Linotype" w:hAnsi="Palatino Linotype"/>
          <w:b/>
          <w:bCs/>
        </w:rPr>
        <w:t>Current Research</w:t>
      </w:r>
      <w:r w:rsidR="00EA7C9B">
        <w:rPr>
          <w:rFonts w:ascii="Palatino Linotype" w:hAnsi="Palatino Linotype"/>
          <w:b/>
          <w:bCs/>
        </w:rPr>
        <w:t xml:space="preserve"> and Teaching Interests</w:t>
      </w:r>
    </w:p>
    <w:p w14:paraId="2174C4E7" w14:textId="608D002A" w:rsidR="00EF0334" w:rsidRPr="006871C7" w:rsidRDefault="008B3B21" w:rsidP="006871C7">
      <w:pPr>
        <w:rPr>
          <w:rFonts w:ascii="Palatino Linotype" w:hAnsi="Palatino Linotype"/>
        </w:rPr>
      </w:pPr>
      <w:r w:rsidRPr="006871C7">
        <w:rPr>
          <w:rFonts w:ascii="Palatino Linotype" w:hAnsi="Palatino Linotype"/>
        </w:rPr>
        <w:t xml:space="preserve">My research agenda, including my job market paper, published work, and work in progress, </w:t>
      </w:r>
      <w:r w:rsidR="00996FAB" w:rsidRPr="006871C7">
        <w:rPr>
          <w:rFonts w:ascii="Palatino Linotype" w:hAnsi="Palatino Linotype"/>
        </w:rPr>
        <w:t>is comprised of</w:t>
      </w:r>
      <w:r w:rsidRPr="006871C7">
        <w:rPr>
          <w:rFonts w:ascii="Palatino Linotype" w:hAnsi="Palatino Linotype"/>
        </w:rPr>
        <w:t xml:space="preserve"> work in applied microeconomics. </w:t>
      </w:r>
      <w:r w:rsidR="00EF0334" w:rsidRPr="006871C7">
        <w:rPr>
          <w:rFonts w:ascii="Palatino Linotype" w:hAnsi="Palatino Linotype"/>
        </w:rPr>
        <w:t xml:space="preserve">My specific </w:t>
      </w:r>
      <w:r w:rsidR="00A81D63" w:rsidRPr="006871C7">
        <w:rPr>
          <w:rFonts w:ascii="Palatino Linotype" w:hAnsi="Palatino Linotype"/>
        </w:rPr>
        <w:t>fields of interest</w:t>
      </w:r>
      <w:r w:rsidR="00EF0334" w:rsidRPr="006871C7">
        <w:rPr>
          <w:rFonts w:ascii="Palatino Linotype" w:hAnsi="Palatino Linotype"/>
        </w:rPr>
        <w:t xml:space="preserve"> are public economics, labor economics, applied econometrics, and urban economics. </w:t>
      </w:r>
      <w:r w:rsidR="004E4652">
        <w:rPr>
          <w:rFonts w:ascii="Palatino Linotype" w:hAnsi="Palatino Linotype"/>
        </w:rPr>
        <w:t xml:space="preserve">As a result, </w:t>
      </w:r>
      <w:r w:rsidR="00A81D63" w:rsidRPr="006871C7">
        <w:rPr>
          <w:rFonts w:ascii="Palatino Linotype" w:hAnsi="Palatino Linotype"/>
        </w:rPr>
        <w:t xml:space="preserve">I am equipped to teach classes in </w:t>
      </w:r>
      <w:r w:rsidR="004E4652">
        <w:rPr>
          <w:rFonts w:ascii="Palatino Linotype" w:hAnsi="Palatino Linotype"/>
        </w:rPr>
        <w:t>topics related to social policy</w:t>
      </w:r>
      <w:r w:rsidR="00996FAB" w:rsidRPr="006871C7">
        <w:rPr>
          <w:rFonts w:ascii="Palatino Linotype" w:hAnsi="Palatino Linotype"/>
        </w:rPr>
        <w:t xml:space="preserve"> </w:t>
      </w:r>
      <w:r w:rsidR="004E4652">
        <w:rPr>
          <w:rFonts w:ascii="Palatino Linotype" w:hAnsi="Palatino Linotype"/>
        </w:rPr>
        <w:t>to</w:t>
      </w:r>
      <w:r w:rsidR="00996FAB" w:rsidRPr="006871C7">
        <w:rPr>
          <w:rFonts w:ascii="Palatino Linotype" w:hAnsi="Palatino Linotype"/>
        </w:rPr>
        <w:t xml:space="preserve"> respond to the </w:t>
      </w:r>
      <w:r w:rsidR="006871C7">
        <w:rPr>
          <w:rFonts w:ascii="Palatino Linotype" w:hAnsi="Palatino Linotype"/>
        </w:rPr>
        <w:t xml:space="preserve">instructional </w:t>
      </w:r>
      <w:r w:rsidR="00996FAB" w:rsidRPr="006871C7">
        <w:rPr>
          <w:rFonts w:ascii="Palatino Linotype" w:hAnsi="Palatino Linotype"/>
        </w:rPr>
        <w:t>needs of the department</w:t>
      </w:r>
      <w:r w:rsidR="00A81D63" w:rsidRPr="006871C7">
        <w:rPr>
          <w:rFonts w:ascii="Palatino Linotype" w:hAnsi="Palatino Linotype"/>
        </w:rPr>
        <w:t>.</w:t>
      </w:r>
    </w:p>
    <w:p w14:paraId="67424EB5" w14:textId="336351A8" w:rsidR="008B3B21" w:rsidRDefault="00EF0334" w:rsidP="006871C7">
      <w:pPr>
        <w:rPr>
          <w:rFonts w:ascii="Palatino Linotype" w:hAnsi="Palatino Linotype"/>
        </w:rPr>
      </w:pPr>
      <w:r w:rsidRPr="006871C7">
        <w:rPr>
          <w:rFonts w:ascii="Palatino Linotype" w:hAnsi="Palatino Linotype"/>
        </w:rPr>
        <w:t>M</w:t>
      </w:r>
      <w:r w:rsidR="008B3B21" w:rsidRPr="006871C7">
        <w:rPr>
          <w:rFonts w:ascii="Palatino Linotype" w:hAnsi="Palatino Linotype"/>
        </w:rPr>
        <w:t xml:space="preserve">y job market paper, </w:t>
      </w:r>
      <w:r w:rsidRPr="006871C7">
        <w:rPr>
          <w:rFonts w:ascii="Palatino Linotype" w:hAnsi="Palatino Linotype"/>
          <w:i/>
          <w:iCs/>
        </w:rPr>
        <w:t>Beyond the Local Impacts of Place-Based Policies: Spillovers through Latent Housing Markets</w:t>
      </w:r>
      <w:r w:rsidR="008B3B21" w:rsidRPr="006871C7">
        <w:rPr>
          <w:rFonts w:ascii="Palatino Linotype" w:hAnsi="Palatino Linotype"/>
        </w:rPr>
        <w:t xml:space="preserve">, proposes an approach to study spillover effects of local policies that propagate </w:t>
      </w:r>
      <w:r w:rsidRPr="006871C7">
        <w:rPr>
          <w:rFonts w:ascii="Palatino Linotype" w:hAnsi="Palatino Linotype"/>
        </w:rPr>
        <w:t xml:space="preserve">non-spatially </w:t>
      </w:r>
      <w:r w:rsidR="008B3B21" w:rsidRPr="006871C7">
        <w:rPr>
          <w:rFonts w:ascii="Palatino Linotype" w:hAnsi="Palatino Linotype"/>
        </w:rPr>
        <w:t>through latent markets. While the approach is particularly relevant for place-based economic development, it can be adapted to other contexts. I exemplify the approach with a place-based policy and estimate spillover effects within latent housing markets. The empirical findings inform conclusions on overall effectiveness and redistribution that differ from analysis using only direct treatment effects.</w:t>
      </w:r>
    </w:p>
    <w:p w14:paraId="63CDB4C3" w14:textId="373150CF" w:rsidR="00FE3A5B" w:rsidRDefault="00FE3A5B" w:rsidP="006871C7">
      <w:pPr>
        <w:rPr>
          <w:rFonts w:ascii="Palatino Linotype" w:hAnsi="Palatino Linotype"/>
        </w:rPr>
      </w:pPr>
      <w:r>
        <w:rPr>
          <w:rFonts w:ascii="Palatino Linotype" w:hAnsi="Palatino Linotype"/>
        </w:rPr>
        <w:t>In addition to my work related to my job market paper, I have experience working on and publishing in topics in labor economics including early childhood education and earnings volatility. This background equips me to work on</w:t>
      </w:r>
      <w:r w:rsidR="00C25C6C">
        <w:rPr>
          <w:rFonts w:ascii="Palatino Linotype" w:hAnsi="Palatino Linotype"/>
        </w:rPr>
        <w:t xml:space="preserve"> projects </w:t>
      </w:r>
      <w:r>
        <w:rPr>
          <w:rFonts w:ascii="Palatino Linotype" w:hAnsi="Palatino Linotype"/>
        </w:rPr>
        <w:t xml:space="preserve">in social policy </w:t>
      </w:r>
      <w:r w:rsidR="002D147B">
        <w:rPr>
          <w:rFonts w:ascii="Palatino Linotype" w:hAnsi="Palatino Linotype"/>
        </w:rPr>
        <w:t xml:space="preserve">that </w:t>
      </w:r>
      <w:r w:rsidR="00C25C6C">
        <w:rPr>
          <w:rFonts w:ascii="Palatino Linotype" w:hAnsi="Palatino Linotype"/>
        </w:rPr>
        <w:t xml:space="preserve">build </w:t>
      </w:r>
      <w:r w:rsidR="002D147B">
        <w:rPr>
          <w:rFonts w:ascii="Palatino Linotype" w:hAnsi="Palatino Linotype"/>
        </w:rPr>
        <w:t xml:space="preserve">on </w:t>
      </w:r>
      <w:r w:rsidR="00C25C6C">
        <w:rPr>
          <w:rFonts w:ascii="Palatino Linotype" w:hAnsi="Palatino Linotype"/>
        </w:rPr>
        <w:t xml:space="preserve">related </w:t>
      </w:r>
      <w:r w:rsidR="002D147B">
        <w:rPr>
          <w:rFonts w:ascii="Palatino Linotype" w:hAnsi="Palatino Linotype"/>
        </w:rPr>
        <w:t xml:space="preserve">literature in both public and labor economics. </w:t>
      </w:r>
    </w:p>
    <w:p w14:paraId="51C7C61B" w14:textId="295ED2B8" w:rsidR="009D3146" w:rsidRDefault="009D3146" w:rsidP="006871C7">
      <w:pPr>
        <w:rPr>
          <w:rFonts w:ascii="Palatino Linotype" w:hAnsi="Palatino Linotype"/>
          <w:b/>
          <w:bCs/>
        </w:rPr>
      </w:pPr>
      <w:r>
        <w:rPr>
          <w:rFonts w:ascii="Palatino Linotype" w:hAnsi="Palatino Linotype"/>
          <w:b/>
          <w:bCs/>
        </w:rPr>
        <w:t>Aims for Future Research</w:t>
      </w:r>
    </w:p>
    <w:p w14:paraId="19E4ACD6" w14:textId="34CCAC58" w:rsidR="00A32E90" w:rsidRPr="00A32E90" w:rsidRDefault="00A32E90" w:rsidP="006871C7">
      <w:pPr>
        <w:rPr>
          <w:rFonts w:ascii="Palatino Linotype" w:hAnsi="Palatino Linotype"/>
          <w:b/>
          <w:bCs/>
          <w:i/>
          <w:iCs/>
        </w:rPr>
      </w:pPr>
      <w:r>
        <w:rPr>
          <w:rFonts w:ascii="Palatino Linotype" w:hAnsi="Palatino Linotype"/>
          <w:b/>
          <w:bCs/>
          <w:i/>
          <w:iCs/>
        </w:rPr>
        <w:t>The Economics and Econometrics of Place-Based Policies</w:t>
      </w:r>
    </w:p>
    <w:p w14:paraId="783CCC4D" w14:textId="6CD57407" w:rsidR="009D3146" w:rsidRDefault="006871C7" w:rsidP="009D3146">
      <w:pPr>
        <w:rPr>
          <w:rFonts w:ascii="Palatino Linotype" w:hAnsi="Palatino Linotype"/>
        </w:rPr>
      </w:pPr>
      <w:r>
        <w:rPr>
          <w:rFonts w:ascii="Palatino Linotype" w:hAnsi="Palatino Linotype"/>
        </w:rPr>
        <w:t xml:space="preserve">My research agenda builds on the work in my job market paper. Two related projects that are works-in-progress </w:t>
      </w:r>
      <w:r w:rsidR="009D3146">
        <w:rPr>
          <w:rFonts w:ascii="Palatino Linotype" w:hAnsi="Palatino Linotype"/>
        </w:rPr>
        <w:t xml:space="preserve">study methodological of using panel data methods to study place-based policies. The first (co-authored) project unifies approaches to </w:t>
      </w:r>
      <w:r w:rsidR="00E822A2">
        <w:rPr>
          <w:rFonts w:ascii="Palatino Linotype" w:hAnsi="Palatino Linotype"/>
        </w:rPr>
        <w:t>account for time-varying, unit-</w:t>
      </w:r>
      <w:r w:rsidR="00E822A2">
        <w:rPr>
          <w:rFonts w:ascii="Palatino Linotype" w:hAnsi="Palatino Linotype"/>
        </w:rPr>
        <w:lastRenderedPageBreak/>
        <w:t>level</w:t>
      </w:r>
      <w:r w:rsidR="009D3146">
        <w:rPr>
          <w:rFonts w:ascii="Palatino Linotype" w:hAnsi="Palatino Linotype"/>
        </w:rPr>
        <w:t xml:space="preserve"> unobserved heterogeneity in panel setting</w:t>
      </w:r>
      <w:r w:rsidR="00E822A2">
        <w:rPr>
          <w:rFonts w:ascii="Palatino Linotype" w:hAnsi="Palatino Linotype"/>
        </w:rPr>
        <w:t>s,</w:t>
      </w:r>
      <w:r w:rsidR="009D3146" w:rsidRPr="009D3146">
        <w:rPr>
          <w:rFonts w:ascii="Palatino Linotype" w:hAnsi="Palatino Linotype"/>
        </w:rPr>
        <w:t xml:space="preserve"> including grouped fixed effects and interactive fixed effects</w:t>
      </w:r>
      <w:r w:rsidR="00E822A2">
        <w:rPr>
          <w:rFonts w:ascii="Palatino Linotype" w:hAnsi="Palatino Linotype"/>
        </w:rPr>
        <w:t>.</w:t>
      </w:r>
      <w:r w:rsidR="009D3146" w:rsidRPr="009D3146">
        <w:rPr>
          <w:rFonts w:ascii="Palatino Linotype" w:hAnsi="Palatino Linotype"/>
        </w:rPr>
        <w:t xml:space="preserve"> </w:t>
      </w:r>
      <w:r w:rsidR="009D3146">
        <w:rPr>
          <w:rFonts w:ascii="Palatino Linotype" w:hAnsi="Palatino Linotype"/>
        </w:rPr>
        <w:t>We</w:t>
      </w:r>
      <w:r w:rsidR="009D3146" w:rsidRPr="009D3146">
        <w:rPr>
          <w:rFonts w:ascii="Palatino Linotype" w:hAnsi="Palatino Linotype"/>
        </w:rPr>
        <w:t xml:space="preserve"> use a bilinear programming approach to unify these models for the purpose of specifying alternative parallel trends assumptions.</w:t>
      </w:r>
    </w:p>
    <w:p w14:paraId="04D12DB0" w14:textId="5B956A43" w:rsidR="009D3146" w:rsidRPr="009D3146" w:rsidRDefault="009D3146" w:rsidP="009D3146">
      <w:pPr>
        <w:rPr>
          <w:rFonts w:ascii="Palatino Linotype" w:hAnsi="Palatino Linotype"/>
        </w:rPr>
      </w:pPr>
      <w:r>
        <w:rPr>
          <w:rFonts w:ascii="Palatino Linotype" w:hAnsi="Palatino Linotype"/>
        </w:rPr>
        <w:t xml:space="preserve">The second </w:t>
      </w:r>
      <w:r w:rsidR="00E822A2">
        <w:rPr>
          <w:rFonts w:ascii="Palatino Linotype" w:hAnsi="Palatino Linotype"/>
        </w:rPr>
        <w:t xml:space="preserve">methodological </w:t>
      </w:r>
      <w:r>
        <w:rPr>
          <w:rFonts w:ascii="Palatino Linotype" w:hAnsi="Palatino Linotype"/>
        </w:rPr>
        <w:t xml:space="preserve">project considers measurement error of property values. </w:t>
      </w:r>
      <w:r w:rsidRPr="009D3146">
        <w:rPr>
          <w:rFonts w:ascii="Palatino Linotype" w:hAnsi="Palatino Linotype"/>
        </w:rPr>
        <w:t xml:space="preserve">While sale prices reflect the true market price, they are only observed for properties that sell, introducing transaction bias. On the other hand, assessed values are observed for all properties, but they may contain non-classical prediction error. In my job market paper, I rely on assessed values for the primary analysis with some supplementary work discussing the possible pitfalls using a measurement model. I plan to expand on this model using nation-wide data </w:t>
      </w:r>
      <w:r w:rsidR="00E822A2">
        <w:rPr>
          <w:rFonts w:ascii="Palatino Linotype" w:hAnsi="Palatino Linotype"/>
        </w:rPr>
        <w:t>to study</w:t>
      </w:r>
      <w:r w:rsidRPr="009D3146">
        <w:rPr>
          <w:rFonts w:ascii="Palatino Linotype" w:hAnsi="Palatino Linotype"/>
        </w:rPr>
        <w:t xml:space="preserve"> the tradeoff between prediction error and transaction </w:t>
      </w:r>
      <w:proofErr w:type="gramStart"/>
      <w:r w:rsidRPr="009D3146">
        <w:rPr>
          <w:rFonts w:ascii="Palatino Linotype" w:hAnsi="Palatino Linotype"/>
        </w:rPr>
        <w:t xml:space="preserve">bias, </w:t>
      </w:r>
      <w:r w:rsidR="00E822A2">
        <w:rPr>
          <w:rFonts w:ascii="Palatino Linotype" w:hAnsi="Palatino Linotype"/>
        </w:rPr>
        <w:t>and</w:t>
      </w:r>
      <w:proofErr w:type="gramEnd"/>
      <w:r w:rsidR="00E822A2">
        <w:rPr>
          <w:rFonts w:ascii="Palatino Linotype" w:hAnsi="Palatino Linotype"/>
        </w:rPr>
        <w:t xml:space="preserve"> relate</w:t>
      </w:r>
      <w:r w:rsidRPr="009D3146">
        <w:rPr>
          <w:rFonts w:ascii="Palatino Linotype" w:hAnsi="Palatino Linotype"/>
        </w:rPr>
        <w:t xml:space="preserve"> it to household-level outcomes and equity concerns. </w:t>
      </w:r>
    </w:p>
    <w:p w14:paraId="232B9FE8" w14:textId="587EE9BC" w:rsidR="009D3146" w:rsidRDefault="006C2972" w:rsidP="009D3146">
      <w:pPr>
        <w:rPr>
          <w:rFonts w:ascii="Palatino Linotype" w:hAnsi="Palatino Linotype"/>
        </w:rPr>
      </w:pPr>
      <w:r>
        <w:rPr>
          <w:rFonts w:ascii="Palatino Linotype" w:hAnsi="Palatino Linotype"/>
        </w:rPr>
        <w:t>In addition to the methodological work</w:t>
      </w:r>
      <w:r w:rsidR="00E822A2">
        <w:rPr>
          <w:rFonts w:ascii="Palatino Linotype" w:hAnsi="Palatino Linotype"/>
        </w:rPr>
        <w:t>, I will consider</w:t>
      </w:r>
      <w:r>
        <w:rPr>
          <w:rFonts w:ascii="Palatino Linotype" w:hAnsi="Palatino Linotype"/>
        </w:rPr>
        <w:t xml:space="preserve"> complementary modeling avenues</w:t>
      </w:r>
      <w:r w:rsidR="00E822A2">
        <w:rPr>
          <w:rFonts w:ascii="Palatino Linotype" w:hAnsi="Palatino Linotype"/>
        </w:rPr>
        <w:t xml:space="preserve"> to the work of my job market paper</w:t>
      </w:r>
      <w:r>
        <w:rPr>
          <w:rFonts w:ascii="Palatino Linotype" w:hAnsi="Palatino Linotype"/>
        </w:rPr>
        <w:t xml:space="preserve">. I find evidence of a place-based economic development policy redistributing resources from relatively advantaged areas to relatively disadvantaged areas. A sorting model </w:t>
      </w:r>
      <w:r w:rsidR="00E822A2">
        <w:rPr>
          <w:rFonts w:ascii="Palatino Linotype" w:hAnsi="Palatino Linotype"/>
        </w:rPr>
        <w:t>can reveal if</w:t>
      </w:r>
      <w:r>
        <w:rPr>
          <w:rFonts w:ascii="Palatino Linotype" w:hAnsi="Palatino Linotype"/>
        </w:rPr>
        <w:t xml:space="preserve"> the intervention indeed results in a flattening of the distribution of neighborhood income and amenities. With this additional structure, I can speak to welfare </w:t>
      </w:r>
      <w:r w:rsidR="00E822A2">
        <w:rPr>
          <w:rFonts w:ascii="Palatino Linotype" w:hAnsi="Palatino Linotype"/>
        </w:rPr>
        <w:t>considerations</w:t>
      </w:r>
      <w:r>
        <w:rPr>
          <w:rFonts w:ascii="Palatino Linotype" w:hAnsi="Palatino Linotype"/>
        </w:rPr>
        <w:t xml:space="preserve">. </w:t>
      </w:r>
      <w:r w:rsidR="00E822A2">
        <w:rPr>
          <w:rFonts w:ascii="Palatino Linotype" w:hAnsi="Palatino Linotype"/>
        </w:rPr>
        <w:t>Additional</w:t>
      </w:r>
      <w:r>
        <w:rPr>
          <w:rFonts w:ascii="Palatino Linotype" w:hAnsi="Palatino Linotype"/>
        </w:rPr>
        <w:t xml:space="preserve"> assumptions </w:t>
      </w:r>
      <w:r w:rsidR="00E822A2">
        <w:rPr>
          <w:rFonts w:ascii="Palatino Linotype" w:hAnsi="Palatino Linotype"/>
        </w:rPr>
        <w:t>will</w:t>
      </w:r>
      <w:r>
        <w:rPr>
          <w:rFonts w:ascii="Palatino Linotype" w:hAnsi="Palatino Linotype"/>
        </w:rPr>
        <w:t xml:space="preserve"> allow me to speak to optimal policy provision and under what conditions it is efficient to target a policy to a particular area.</w:t>
      </w:r>
    </w:p>
    <w:p w14:paraId="53AD5097" w14:textId="18DD945E" w:rsidR="004D16E4" w:rsidRDefault="004D16E4" w:rsidP="004D16E4">
      <w:pPr>
        <w:rPr>
          <w:rFonts w:ascii="Palatino Linotype" w:hAnsi="Palatino Linotype"/>
        </w:rPr>
      </w:pPr>
      <w:r>
        <w:rPr>
          <w:rFonts w:ascii="Palatino Linotype" w:hAnsi="Palatino Linotype"/>
        </w:rPr>
        <w:t xml:space="preserve">Another (co-authored) topic </w:t>
      </w:r>
      <w:r w:rsidR="00E822A2">
        <w:rPr>
          <w:rFonts w:ascii="Palatino Linotype" w:hAnsi="Palatino Linotype"/>
        </w:rPr>
        <w:t>in my research agenda</w:t>
      </w:r>
      <w:r>
        <w:rPr>
          <w:rFonts w:ascii="Palatino Linotype" w:hAnsi="Palatino Linotype"/>
        </w:rPr>
        <w:t xml:space="preserve"> relates to place-based interventions in the context of flood prevention.</w:t>
      </w:r>
      <w:r w:rsidRPr="00A32E90">
        <w:rPr>
          <w:rFonts w:ascii="Palatino Linotype" w:hAnsi="Palatino Linotype"/>
        </w:rPr>
        <w:t xml:space="preserve"> </w:t>
      </w:r>
      <w:r>
        <w:rPr>
          <w:rFonts w:ascii="Palatino Linotype" w:hAnsi="Palatino Linotype"/>
        </w:rPr>
        <w:t xml:space="preserve">We </w:t>
      </w:r>
      <w:r w:rsidRPr="00A32E90">
        <w:rPr>
          <w:rFonts w:ascii="Palatino Linotype" w:hAnsi="Palatino Linotype"/>
        </w:rPr>
        <w:t xml:space="preserve">study how the take-up of flood insurance changes after the construction </w:t>
      </w:r>
      <w:r>
        <w:rPr>
          <w:rFonts w:ascii="Palatino Linotype" w:hAnsi="Palatino Linotype"/>
        </w:rPr>
        <w:t xml:space="preserve">and accreditation </w:t>
      </w:r>
      <w:r w:rsidRPr="00A32E90">
        <w:rPr>
          <w:rFonts w:ascii="Palatino Linotype" w:hAnsi="Palatino Linotype"/>
        </w:rPr>
        <w:t>of a levee</w:t>
      </w:r>
      <w:r>
        <w:rPr>
          <w:rFonts w:ascii="Palatino Linotype" w:hAnsi="Palatino Linotype"/>
        </w:rPr>
        <w:t>, which changes the flood risk and insurance prices of an area</w:t>
      </w:r>
      <w:r w:rsidRPr="00A32E90">
        <w:rPr>
          <w:rFonts w:ascii="Palatino Linotype" w:hAnsi="Palatino Linotype"/>
        </w:rPr>
        <w:t xml:space="preserve">. </w:t>
      </w:r>
      <w:r>
        <w:rPr>
          <w:rFonts w:ascii="Palatino Linotype" w:hAnsi="Palatino Linotype"/>
        </w:rPr>
        <w:t xml:space="preserve">It </w:t>
      </w:r>
      <w:r w:rsidRPr="00A32E90">
        <w:rPr>
          <w:rFonts w:ascii="Palatino Linotype" w:hAnsi="Palatino Linotype"/>
        </w:rPr>
        <w:t xml:space="preserve">is of interest how two </w:t>
      </w:r>
      <w:r>
        <w:rPr>
          <w:rFonts w:ascii="Palatino Linotype" w:hAnsi="Palatino Linotype"/>
        </w:rPr>
        <w:t xml:space="preserve">publicly funded </w:t>
      </w:r>
      <w:r w:rsidRPr="00A32E90">
        <w:rPr>
          <w:rFonts w:ascii="Palatino Linotype" w:hAnsi="Palatino Linotype"/>
        </w:rPr>
        <w:t>interventions detract from or reinforce each other, given households’ behavioral responses.</w:t>
      </w:r>
      <w:r>
        <w:rPr>
          <w:rFonts w:ascii="Palatino Linotype" w:hAnsi="Palatino Linotype"/>
        </w:rPr>
        <w:t xml:space="preserve"> We</w:t>
      </w:r>
      <w:r w:rsidRPr="00A32E90">
        <w:rPr>
          <w:rFonts w:ascii="Palatino Linotype" w:hAnsi="Palatino Linotype"/>
        </w:rPr>
        <w:t xml:space="preserve"> incorporate novel data on accreditation dates, after which properties protected by accredited levees experience a reduction in the price of flood insurance.</w:t>
      </w:r>
    </w:p>
    <w:p w14:paraId="7A59A739" w14:textId="65A6FAA6" w:rsidR="00A32E90" w:rsidRPr="00A32E90" w:rsidRDefault="004D16E4" w:rsidP="004D16E4">
      <w:pPr>
        <w:rPr>
          <w:rFonts w:ascii="Palatino Linotype" w:hAnsi="Palatino Linotype"/>
        </w:rPr>
      </w:pPr>
      <w:r>
        <w:rPr>
          <w:rFonts w:ascii="Palatino Linotype" w:hAnsi="Palatino Linotype"/>
        </w:rPr>
        <w:t>We plan to pursue two projects within the context of levees and flood insurance. The first project relates to measuring and experimentally altering household information on flood risk and levees. O</w:t>
      </w:r>
      <w:r w:rsidR="00A32E90" w:rsidRPr="00A32E90">
        <w:rPr>
          <w:rFonts w:ascii="Palatino Linotype" w:hAnsi="Palatino Linotype"/>
        </w:rPr>
        <w:t>ur empirical results highlight the counter-intuitive finding that households reduce flood insurance take-up after a levee’s accreditation lowers the cost of flood insurance. It is possible that households underestimate the risk of flooding, which the levee does not completely eradicate. We plan to pursue funding and partnership with government agencies to implement an experiment. We hope to randomly disseminate information about local levee infrastructure and local insurance requirements. Treatment effects on changes in the uptake of flood insurance would reveal to what degree incorrect information determines households’ risky flood insurance choices.</w:t>
      </w:r>
    </w:p>
    <w:p w14:paraId="4658786C" w14:textId="13941CA5" w:rsidR="006C2972" w:rsidRDefault="004D16E4" w:rsidP="00A32E90">
      <w:pPr>
        <w:rPr>
          <w:rFonts w:ascii="Palatino Linotype" w:hAnsi="Palatino Linotype"/>
        </w:rPr>
      </w:pPr>
      <w:r>
        <w:rPr>
          <w:rFonts w:ascii="Palatino Linotype" w:hAnsi="Palatino Linotype"/>
        </w:rPr>
        <w:t xml:space="preserve">The second project relates to </w:t>
      </w:r>
      <w:r w:rsidR="006640B0">
        <w:rPr>
          <w:rFonts w:ascii="Palatino Linotype" w:hAnsi="Palatino Linotype"/>
        </w:rPr>
        <w:t>measuring and studying the effect of enforcement of flood insurance mandates. F</w:t>
      </w:r>
      <w:r>
        <w:rPr>
          <w:rFonts w:ascii="Palatino Linotype" w:hAnsi="Palatino Linotype"/>
        </w:rPr>
        <w:t>ederal</w:t>
      </w:r>
      <w:r w:rsidR="00A32E90" w:rsidRPr="00A32E90">
        <w:rPr>
          <w:rFonts w:ascii="Palatino Linotype" w:hAnsi="Palatino Linotype"/>
        </w:rPr>
        <w:t xml:space="preserve"> law requires that households in flood-prone areas purchase flood insurance. However, the take-up of flood insurance varies widely across the U.S. One challenge </w:t>
      </w:r>
      <w:r w:rsidR="00A32E90" w:rsidRPr="00A32E90">
        <w:rPr>
          <w:rFonts w:ascii="Palatino Linotype" w:hAnsi="Palatino Linotype"/>
        </w:rPr>
        <w:lastRenderedPageBreak/>
        <w:t>in studying this uneven take-up is measuring the enforcement of the mandate, which generally falls on mortgage lenders and the Federal Reserve. We plan to explore different variation determining flood insurance take-up including lender heterogeneity and variation in mandate regulation policies.</w:t>
      </w:r>
    </w:p>
    <w:p w14:paraId="50B8B722" w14:textId="5E688549" w:rsidR="00A32E90" w:rsidRPr="00A32E90" w:rsidRDefault="00A32E90" w:rsidP="00A32E90">
      <w:pPr>
        <w:rPr>
          <w:rFonts w:ascii="Palatino Linotype" w:hAnsi="Palatino Linotype"/>
          <w:b/>
          <w:bCs/>
          <w:i/>
          <w:iCs/>
        </w:rPr>
      </w:pPr>
      <w:r w:rsidRPr="00A32E90">
        <w:rPr>
          <w:rFonts w:ascii="Palatino Linotype" w:hAnsi="Palatino Linotype"/>
          <w:b/>
          <w:bCs/>
          <w:i/>
          <w:iCs/>
        </w:rPr>
        <w:t>The Importance of Place for Household Outcomes</w:t>
      </w:r>
    </w:p>
    <w:p w14:paraId="49DA46D7" w14:textId="55F3F427" w:rsidR="00A32E90" w:rsidRPr="00A32E90" w:rsidRDefault="006640B0" w:rsidP="00A32E90">
      <w:pPr>
        <w:rPr>
          <w:rFonts w:ascii="Palatino Linotype" w:hAnsi="Palatino Linotype"/>
        </w:rPr>
      </w:pPr>
      <w:r>
        <w:rPr>
          <w:rFonts w:ascii="Palatino Linotype" w:hAnsi="Palatino Linotype"/>
        </w:rPr>
        <w:t>There are two in-progress projects that study how place affects household outcomes. The first (co-authored) project studies rental choice sets in low- and high-opportunity neighborhoods for Housing Choice Voucher Program (HCVP) participants. HCVP participants</w:t>
      </w:r>
      <w:r w:rsidR="00A32E90" w:rsidRPr="00A32E90">
        <w:rPr>
          <w:rFonts w:ascii="Palatino Linotype" w:hAnsi="Palatino Linotype"/>
        </w:rPr>
        <w:t xml:space="preserve"> face constraints in location choice both due to constrained resources and additional policy requirements of the program. A challenge to understand these constraints is the measurement of the choice sets. </w:t>
      </w:r>
      <w:r w:rsidR="000E16AE">
        <w:rPr>
          <w:rFonts w:ascii="Palatino Linotype" w:hAnsi="Palatino Linotype"/>
        </w:rPr>
        <w:t xml:space="preserve">We </w:t>
      </w:r>
      <w:r w:rsidR="00A32E90" w:rsidRPr="00A32E90">
        <w:rPr>
          <w:rFonts w:ascii="Palatino Linotype" w:hAnsi="Palatino Linotype"/>
        </w:rPr>
        <w:t xml:space="preserve">combine restricted-access data from HUD with a novel data source on advertised rental prices to observe the weekly choice sets of HCVP </w:t>
      </w:r>
      <w:proofErr w:type="gramStart"/>
      <w:r w:rsidR="00A32E90" w:rsidRPr="00A32E90">
        <w:rPr>
          <w:rFonts w:ascii="Palatino Linotype" w:hAnsi="Palatino Linotype"/>
        </w:rPr>
        <w:t>participants, and</w:t>
      </w:r>
      <w:proofErr w:type="gramEnd"/>
      <w:r w:rsidR="00A32E90" w:rsidRPr="00A32E90">
        <w:rPr>
          <w:rFonts w:ascii="Palatino Linotype" w:hAnsi="Palatino Linotype"/>
        </w:rPr>
        <w:t xml:space="preserve"> describe them by geographic location and household demographics. Observing the choice sets expands modeling possibilities in a structural framework of residential sorting.</w:t>
      </w:r>
    </w:p>
    <w:p w14:paraId="022CB1FA" w14:textId="6AB76049" w:rsidR="006871C7" w:rsidRDefault="000E16AE" w:rsidP="006871C7">
      <w:pPr>
        <w:rPr>
          <w:rFonts w:ascii="Palatino Linotype" w:hAnsi="Palatino Linotype"/>
        </w:rPr>
      </w:pPr>
      <w:r>
        <w:rPr>
          <w:rFonts w:ascii="Palatino Linotype" w:hAnsi="Palatino Linotype"/>
        </w:rPr>
        <w:t>The second (co-authored) project studies</w:t>
      </w:r>
      <w:r w:rsidR="00A32E90" w:rsidRPr="00A32E90">
        <w:rPr>
          <w:rFonts w:ascii="Palatino Linotype" w:hAnsi="Palatino Linotype"/>
        </w:rPr>
        <w:t xml:space="preserve"> the relationship between household income volatility and life expectancy using a household-level consumer dataset. We find that income is an important mediator of the correlation, with the bottom half of the income distribution experiencing negative correlation between income volatility and life expectancy, including if the income volatility is positive. The role of place is notable both in the geographic distribution of households in the bottom half of the income distribution and the possibility that place-specific factors, such as factory closings, contribute to this correlation. This paper is </w:t>
      </w:r>
      <w:r w:rsidR="0003551C">
        <w:rPr>
          <w:rFonts w:ascii="Palatino Linotype" w:hAnsi="Palatino Linotype"/>
        </w:rPr>
        <w:t>Revise and Resubmit</w:t>
      </w:r>
      <w:r w:rsidR="00A32E90" w:rsidRPr="00A32E90">
        <w:rPr>
          <w:rFonts w:ascii="Palatino Linotype" w:hAnsi="Palatino Linotype"/>
        </w:rPr>
        <w:t xml:space="preserve"> at the </w:t>
      </w:r>
      <w:r w:rsidR="00A32E90" w:rsidRPr="000E16AE">
        <w:rPr>
          <w:rFonts w:ascii="Palatino Linotype" w:hAnsi="Palatino Linotype"/>
          <w:i/>
          <w:iCs/>
        </w:rPr>
        <w:t>Journal of Labor Economics</w:t>
      </w:r>
      <w:r>
        <w:rPr>
          <w:rFonts w:ascii="Palatino Linotype" w:hAnsi="Palatino Linotype"/>
        </w:rPr>
        <w:t>.</w:t>
      </w:r>
    </w:p>
    <w:p w14:paraId="1AD55E89" w14:textId="6730DCBC" w:rsidR="00C25C6C" w:rsidRPr="00C25C6C" w:rsidRDefault="00C25C6C" w:rsidP="00C25C6C">
      <w:pPr>
        <w:rPr>
          <w:rFonts w:ascii="Palatino Linotype" w:hAnsi="Palatino Linotype"/>
          <w:b/>
          <w:bCs/>
        </w:rPr>
      </w:pPr>
      <w:r>
        <w:rPr>
          <w:rFonts w:ascii="Palatino Linotype" w:hAnsi="Palatino Linotype"/>
          <w:b/>
          <w:bCs/>
        </w:rPr>
        <w:t xml:space="preserve">Teaching </w:t>
      </w:r>
      <w:r w:rsidR="00AF50CD">
        <w:rPr>
          <w:rFonts w:ascii="Palatino Linotype" w:hAnsi="Palatino Linotype"/>
          <w:b/>
          <w:bCs/>
        </w:rPr>
        <w:t>Philosophy</w:t>
      </w:r>
      <w:r>
        <w:rPr>
          <w:rFonts w:ascii="Palatino Linotype" w:hAnsi="Palatino Linotype"/>
          <w:b/>
          <w:bCs/>
        </w:rPr>
        <w:t xml:space="preserve"> and Interests</w:t>
      </w:r>
    </w:p>
    <w:p w14:paraId="20B1CA39" w14:textId="38FA0BA6" w:rsidR="00C25C6C" w:rsidRPr="00C25C6C" w:rsidRDefault="00C25C6C" w:rsidP="00C25C6C">
      <w:pPr>
        <w:rPr>
          <w:rFonts w:ascii="Palatino Linotype" w:hAnsi="Palatino Linotype"/>
        </w:rPr>
      </w:pPr>
      <w:r w:rsidRPr="00C25C6C">
        <w:rPr>
          <w:rFonts w:ascii="Palatino Linotype" w:hAnsi="Palatino Linotype"/>
        </w:rPr>
        <w:t xml:space="preserve">My teaching experiences and </w:t>
      </w:r>
      <w:hyperlink r:id="rId6" w:history="1">
        <w:r w:rsidRPr="00C25C6C">
          <w:rPr>
            <w:rStyle w:val="Hyperlink"/>
            <w:rFonts w:ascii="Palatino Linotype" w:hAnsi="Palatino Linotype"/>
          </w:rPr>
          <w:t>certification in college teaching</w:t>
        </w:r>
      </w:hyperlink>
      <w:r>
        <w:rPr>
          <w:rFonts w:ascii="Palatino Linotype" w:hAnsi="Palatino Linotype"/>
        </w:rPr>
        <w:t xml:space="preserve"> </w:t>
      </w:r>
      <w:r w:rsidRPr="00C25C6C">
        <w:rPr>
          <w:rFonts w:ascii="Palatino Linotype" w:hAnsi="Palatino Linotype"/>
        </w:rPr>
        <w:t xml:space="preserve">have solidified three instructional goals I hope to develop further after graduating. These instructional goals include (1) focusing on student independence and creativity, (2) cultivating an environment of feedback and reflection, and (3) encouraging faculty-student and student-student mentorship relationships. These goals align with the </w:t>
      </w:r>
      <w:r>
        <w:rPr>
          <w:rFonts w:ascii="Palatino Linotype" w:hAnsi="Palatino Linotype"/>
        </w:rPr>
        <w:t xml:space="preserve">larger </w:t>
      </w:r>
      <w:r w:rsidRPr="00C25C6C">
        <w:rPr>
          <w:rFonts w:ascii="Palatino Linotype" w:hAnsi="Palatino Linotype"/>
        </w:rPr>
        <w:t xml:space="preserve">goal of student learning and development within the economics discipline and apply to both undergraduate and graduate audiences. </w:t>
      </w:r>
    </w:p>
    <w:p w14:paraId="3E3D0B4A" w14:textId="1ABB33E5" w:rsidR="00C25C6C" w:rsidRPr="00C25C6C" w:rsidRDefault="00C25C6C" w:rsidP="00C25C6C">
      <w:pPr>
        <w:rPr>
          <w:rFonts w:ascii="Palatino Linotype" w:hAnsi="Palatino Linotype"/>
        </w:rPr>
      </w:pPr>
      <w:r w:rsidRPr="00C25C6C">
        <w:rPr>
          <w:rFonts w:ascii="Palatino Linotype" w:hAnsi="Palatino Linotype"/>
        </w:rPr>
        <w:t xml:space="preserve">Based on my research experience, I am prepared to teach classes in microeconomics or applied econometrics, especially covering topics in public economics, public finance, urban economics, and labor economics. I plan to use all teaching roles or class design assignments as an opportunity to deepen my own knowledge. Regardless of the </w:t>
      </w:r>
      <w:r w:rsidRPr="00C25C6C">
        <w:rPr>
          <w:rFonts w:ascii="Palatino Linotype" w:hAnsi="Palatino Linotype"/>
        </w:rPr>
        <w:t>topic</w:t>
      </w:r>
      <w:r w:rsidRPr="00C25C6C">
        <w:rPr>
          <w:rFonts w:ascii="Palatino Linotype" w:hAnsi="Palatino Linotype"/>
        </w:rPr>
        <w:t xml:space="preserve"> or level, I aim to plan objectives, instruction, activities, and evaluations that support my three core goals. </w:t>
      </w:r>
    </w:p>
    <w:p w14:paraId="3BC1E6F9" w14:textId="77777777" w:rsidR="00AF50CD" w:rsidRPr="002F1953" w:rsidRDefault="00C25C6C" w:rsidP="00C25C6C">
      <w:pPr>
        <w:rPr>
          <w:rFonts w:ascii="Palatino Linotype" w:hAnsi="Palatino Linotype"/>
          <w:b/>
          <w:bCs/>
          <w:i/>
          <w:iCs/>
        </w:rPr>
      </w:pPr>
      <w:r w:rsidRPr="002F1953">
        <w:rPr>
          <w:rFonts w:ascii="Palatino Linotype" w:hAnsi="Palatino Linotype"/>
          <w:b/>
          <w:bCs/>
          <w:i/>
          <w:iCs/>
        </w:rPr>
        <w:t xml:space="preserve">Student Independence and Creativity </w:t>
      </w:r>
    </w:p>
    <w:p w14:paraId="172C54BA" w14:textId="77777777" w:rsidR="00AF50CD" w:rsidRDefault="00AF50CD" w:rsidP="00C25C6C">
      <w:pPr>
        <w:rPr>
          <w:rFonts w:ascii="Palatino Linotype" w:hAnsi="Palatino Linotype"/>
        </w:rPr>
      </w:pPr>
    </w:p>
    <w:p w14:paraId="21935FE5" w14:textId="522EB623" w:rsidR="00C25C6C" w:rsidRPr="00C25C6C" w:rsidRDefault="00C25C6C" w:rsidP="00C25C6C">
      <w:pPr>
        <w:rPr>
          <w:rFonts w:ascii="Palatino Linotype" w:hAnsi="Palatino Linotype"/>
        </w:rPr>
      </w:pPr>
      <w:r w:rsidRPr="00C25C6C">
        <w:rPr>
          <w:rFonts w:ascii="Palatino Linotype" w:hAnsi="Palatino Linotype"/>
        </w:rPr>
        <w:lastRenderedPageBreak/>
        <w:t xml:space="preserve">Even undergraduates who are not necessarily interested in pursuing graduate school or research careers can benefit from the independence and creativity that the research process cultivates. I designed a </w:t>
      </w:r>
      <w:hyperlink r:id="rId7" w:history="1">
        <w:r w:rsidRPr="00FD67BE">
          <w:rPr>
            <w:rStyle w:val="Hyperlink"/>
            <w:rFonts w:ascii="Palatino Linotype" w:hAnsi="Palatino Linotype"/>
          </w:rPr>
          <w:t xml:space="preserve">graduate-level class on workflow and coding in </w:t>
        </w:r>
        <w:proofErr w:type="spellStart"/>
        <w:r w:rsidRPr="00FD67BE">
          <w:rPr>
            <w:rStyle w:val="Hyperlink"/>
            <w:rFonts w:ascii="Palatino Linotype" w:hAnsi="Palatino Linotype"/>
          </w:rPr>
          <w:t>R</w:t>
        </w:r>
        <w:proofErr w:type="spellEnd"/>
      </w:hyperlink>
      <w:r w:rsidRPr="00C25C6C">
        <w:rPr>
          <w:rFonts w:ascii="Palatino Linotype" w:hAnsi="Palatino Linotype"/>
        </w:rPr>
        <w:t xml:space="preserve"> around a capstone project in which students proposed and implemented research projects. I allowed for a replication project rather than an original research project to accommodate students at different levels of preparation. Not only did these activities guide them in developing skills for research, </w:t>
      </w:r>
      <w:r w:rsidR="00FD67BE" w:rsidRPr="00C25C6C">
        <w:rPr>
          <w:rFonts w:ascii="Palatino Linotype" w:hAnsi="Palatino Linotype"/>
        </w:rPr>
        <w:t>but they also</w:t>
      </w:r>
      <w:r w:rsidRPr="00C25C6C">
        <w:rPr>
          <w:rFonts w:ascii="Palatino Linotype" w:hAnsi="Palatino Linotype"/>
        </w:rPr>
        <w:t xml:space="preserve"> allowed for a more complex understanding of the class material. Integrating independent research into any class I teach with modifications based on the level and topic will allow for students to achieve a higher level of learning. For example, in an undergraduate-level class, I would provide a gradual introduction to the iterative process of research, ending with groups of students presenting a research project or replication. Even as a T.A., I shared papers related to the examples of the class every week. Including independent research projects allows an avenue for all students to challenge themselves, including those who have more experience with the material. </w:t>
      </w:r>
    </w:p>
    <w:p w14:paraId="2DD290E2" w14:textId="77777777" w:rsidR="00C25C6C" w:rsidRPr="00C25C6C" w:rsidRDefault="00C25C6C" w:rsidP="00C25C6C">
      <w:pPr>
        <w:rPr>
          <w:rFonts w:ascii="Palatino Linotype" w:hAnsi="Palatino Linotype"/>
        </w:rPr>
      </w:pPr>
      <w:r w:rsidRPr="00C25C6C">
        <w:rPr>
          <w:rFonts w:ascii="Palatino Linotype" w:hAnsi="Palatino Linotype"/>
        </w:rPr>
        <w:t>Incorporating research into the classroom requires covering research ethics and best practices as well. In my class on workflow and coding in R, I designed materials that discussed different approaches to replicable and ethical research. In future teaching opportunities, I will integrate this information into the syllabus.</w:t>
      </w:r>
    </w:p>
    <w:p w14:paraId="76C77FAA" w14:textId="5E798A27" w:rsidR="00494DF1" w:rsidRPr="002F1953" w:rsidRDefault="00C25C6C" w:rsidP="00C25C6C">
      <w:pPr>
        <w:rPr>
          <w:rFonts w:ascii="Palatino Linotype" w:hAnsi="Palatino Linotype"/>
          <w:b/>
          <w:bCs/>
          <w:i/>
          <w:iCs/>
        </w:rPr>
      </w:pPr>
      <w:r w:rsidRPr="002F1953">
        <w:rPr>
          <w:rFonts w:ascii="Palatino Linotype" w:hAnsi="Palatino Linotype"/>
          <w:b/>
          <w:bCs/>
          <w:i/>
          <w:iCs/>
        </w:rPr>
        <w:t>Feedback and Reflecti</w:t>
      </w:r>
      <w:r w:rsidR="00494DF1" w:rsidRPr="002F1953">
        <w:rPr>
          <w:rFonts w:ascii="Palatino Linotype" w:hAnsi="Palatino Linotype"/>
          <w:b/>
          <w:bCs/>
          <w:i/>
          <w:iCs/>
        </w:rPr>
        <w:t>o</w:t>
      </w:r>
      <w:r w:rsidRPr="002F1953">
        <w:rPr>
          <w:rFonts w:ascii="Palatino Linotype" w:hAnsi="Palatino Linotype"/>
          <w:b/>
          <w:bCs/>
          <w:i/>
          <w:iCs/>
        </w:rPr>
        <w:t xml:space="preserve">n </w:t>
      </w:r>
    </w:p>
    <w:p w14:paraId="49B431B0" w14:textId="5C1CD982" w:rsidR="00C25C6C" w:rsidRPr="00C25C6C" w:rsidRDefault="00C25C6C" w:rsidP="00C25C6C">
      <w:pPr>
        <w:rPr>
          <w:rFonts w:ascii="Palatino Linotype" w:hAnsi="Palatino Linotype"/>
        </w:rPr>
      </w:pPr>
      <w:r w:rsidRPr="00C25C6C">
        <w:rPr>
          <w:rFonts w:ascii="Palatino Linotype" w:hAnsi="Palatino Linotype"/>
        </w:rPr>
        <w:t>Problem sets, projects, and exams may provide formal evaluation to students, but I aim to cultivate an environment of feedback and reflection beyond these measures. In-class activities and non-credit quizzes reveal information to the students, but also to me, about their gaps in understanding or areas of confidence. When I was a T.A., I designed each session to begin with questions that students worked on independently for five minutes. Then, I would either let the students discuss the question in small groups or simply ask students to share their answers with the whole class. This activity allowed students to think through the problem themselves, testing their own knowledge rather than relying on my or another student's explanation. I observed that these non-credit problems were especially important in the undergraduate core econometrics class in which students enter at vastly different levels. In discussing these non-credit problems, one student shared:</w:t>
      </w:r>
    </w:p>
    <w:p w14:paraId="52B3C01A" w14:textId="77321D12" w:rsidR="00C25C6C" w:rsidRPr="00C25C6C" w:rsidRDefault="00C25C6C" w:rsidP="00494DF1">
      <w:pPr>
        <w:ind w:left="720"/>
        <w:rPr>
          <w:rFonts w:ascii="Palatino Linotype" w:hAnsi="Palatino Linotype"/>
        </w:rPr>
      </w:pPr>
      <w:r w:rsidRPr="00C25C6C">
        <w:rPr>
          <w:rFonts w:ascii="Palatino Linotype" w:hAnsi="Palatino Linotype"/>
        </w:rPr>
        <w:t>[Anna</w:t>
      </w:r>
      <w:r w:rsidR="00494DF1">
        <w:rPr>
          <w:rFonts w:ascii="Palatino Linotype" w:hAnsi="Palatino Linotype"/>
        </w:rPr>
        <w:t>…</w:t>
      </w:r>
      <w:r w:rsidRPr="00C25C6C">
        <w:rPr>
          <w:rFonts w:ascii="Palatino Linotype" w:hAnsi="Palatino Linotype"/>
        </w:rPr>
        <w:t xml:space="preserve">] created some practice problems for us which were VERY helpful for us to understand concepts. As someone who learns by solving problems and in a more </w:t>
      </w:r>
      <w:r w:rsidR="00494DF1">
        <w:rPr>
          <w:rFonts w:ascii="Palatino Linotype" w:hAnsi="Palatino Linotype"/>
        </w:rPr>
        <w:t>“</w:t>
      </w:r>
      <w:r w:rsidRPr="00C25C6C">
        <w:rPr>
          <w:rFonts w:ascii="Palatino Linotype" w:hAnsi="Palatino Linotype"/>
        </w:rPr>
        <w:t>applied</w:t>
      </w:r>
      <w:r w:rsidR="00494DF1">
        <w:rPr>
          <w:rFonts w:ascii="Palatino Linotype" w:hAnsi="Palatino Linotype"/>
        </w:rPr>
        <w:t>”</w:t>
      </w:r>
      <w:r w:rsidRPr="00C25C6C">
        <w:rPr>
          <w:rFonts w:ascii="Palatino Linotype" w:hAnsi="Palatino Linotype"/>
        </w:rPr>
        <w:t xml:space="preserve"> way, this teaching style was so </w:t>
      </w:r>
      <w:proofErr w:type="gramStart"/>
      <w:r w:rsidRPr="00C25C6C">
        <w:rPr>
          <w:rFonts w:ascii="Palatino Linotype" w:hAnsi="Palatino Linotype"/>
        </w:rPr>
        <w:t>helpful</w:t>
      </w:r>
      <w:proofErr w:type="gramEnd"/>
      <w:r w:rsidRPr="00C25C6C">
        <w:rPr>
          <w:rFonts w:ascii="Palatino Linotype" w:hAnsi="Palatino Linotype"/>
        </w:rPr>
        <w:t xml:space="preserve"> and I really appreciate her effort in doing these practice problems for us in office hours because it later helped me to break down the daunting problems in the problem set.</w:t>
      </w:r>
    </w:p>
    <w:p w14:paraId="68E20E61" w14:textId="6EE9F39E" w:rsidR="00C25C6C" w:rsidRPr="00C25C6C" w:rsidRDefault="00C25C6C" w:rsidP="00C25C6C">
      <w:pPr>
        <w:rPr>
          <w:rFonts w:ascii="Palatino Linotype" w:hAnsi="Palatino Linotype"/>
        </w:rPr>
      </w:pPr>
      <w:r w:rsidRPr="00C25C6C">
        <w:rPr>
          <w:rFonts w:ascii="Palatino Linotype" w:hAnsi="Palatino Linotype"/>
        </w:rPr>
        <w:t xml:space="preserve">Prioritizing interactive in-class activities over prolonged lectures allows more continuous feedback and more generally cultivates an environment of reflection. For these activities to work, however, there needs to be a respectful classroom environment. I set this tone from the </w:t>
      </w:r>
      <w:r w:rsidRPr="00C25C6C">
        <w:rPr>
          <w:rFonts w:ascii="Palatino Linotype" w:hAnsi="Palatino Linotype"/>
        </w:rPr>
        <w:lastRenderedPageBreak/>
        <w:t xml:space="preserve">first day by being clear on classroom expectations (e.g., I start and end class exactly on time). I was pleased to see students highlight this in my evaluations: </w:t>
      </w:r>
      <w:r w:rsidR="00494DF1">
        <w:rPr>
          <w:rFonts w:ascii="Palatino Linotype" w:hAnsi="Palatino Linotype"/>
        </w:rPr>
        <w:t>“</w:t>
      </w:r>
      <w:r w:rsidRPr="00C25C6C">
        <w:rPr>
          <w:rFonts w:ascii="Palatino Linotype" w:hAnsi="Palatino Linotype"/>
        </w:rPr>
        <w:t>[Anna] never rejects questions nor appears condescending.</w:t>
      </w:r>
      <w:r w:rsidR="00494DF1">
        <w:rPr>
          <w:rFonts w:ascii="Palatino Linotype" w:hAnsi="Palatino Linotype"/>
        </w:rPr>
        <w:t>”</w:t>
      </w:r>
      <w:r w:rsidRPr="00C25C6C">
        <w:rPr>
          <w:rFonts w:ascii="Palatino Linotype" w:hAnsi="Palatino Linotype"/>
        </w:rPr>
        <w:t xml:space="preserve"> After graduating, to further contribute to this environment, I will have a permanent, anonymous link so that students can submit feedback apart from structured student-instructor evaluations. </w:t>
      </w:r>
    </w:p>
    <w:p w14:paraId="1802CC7D" w14:textId="432E44EC" w:rsidR="00494DF1" w:rsidRPr="002F1953" w:rsidRDefault="00C25C6C" w:rsidP="00C25C6C">
      <w:pPr>
        <w:rPr>
          <w:rFonts w:ascii="Palatino Linotype" w:hAnsi="Palatino Linotype"/>
          <w:b/>
          <w:bCs/>
          <w:i/>
          <w:iCs/>
        </w:rPr>
      </w:pPr>
      <w:r w:rsidRPr="002F1953">
        <w:rPr>
          <w:rFonts w:ascii="Palatino Linotype" w:hAnsi="Palatino Linotype"/>
          <w:b/>
          <w:bCs/>
          <w:i/>
          <w:iCs/>
        </w:rPr>
        <w:t>Mentorship Opportunities</w:t>
      </w:r>
    </w:p>
    <w:p w14:paraId="122FE377" w14:textId="19D427A5" w:rsidR="00A81D63" w:rsidRDefault="00C25C6C" w:rsidP="00C25C6C">
      <w:pPr>
        <w:rPr>
          <w:rFonts w:ascii="Palatino Linotype" w:hAnsi="Palatino Linotype"/>
        </w:rPr>
      </w:pPr>
      <w:r w:rsidRPr="00C25C6C">
        <w:rPr>
          <w:rFonts w:ascii="Palatino Linotype" w:hAnsi="Palatino Linotype"/>
        </w:rPr>
        <w:t xml:space="preserve"> Encouraging instructor-student mentorship relationships expedites students' connection to resources. However, I also aim to encourage student-student mentorship relationships because this allows the students to maximize their classroom experience. Specifically, for some in-class activities, I group students together. As the semester unfolds, these intra-student connections can provide support in students seeking additional help and bolstering student confidence. </w:t>
      </w:r>
      <w:r w:rsidR="00494DF1" w:rsidRPr="00C25C6C">
        <w:rPr>
          <w:rFonts w:ascii="Palatino Linotype" w:hAnsi="Palatino Linotype"/>
        </w:rPr>
        <w:t>For</w:t>
      </w:r>
      <w:r w:rsidRPr="00C25C6C">
        <w:rPr>
          <w:rFonts w:ascii="Palatino Linotype" w:hAnsi="Palatino Linotype"/>
        </w:rPr>
        <w:t xml:space="preserve"> student-student mentorship to succeed, there must be an emphasis on inclusion. Recent student evaluations mentioned: </w:t>
      </w:r>
      <w:r w:rsidR="00494DF1">
        <w:rPr>
          <w:rFonts w:ascii="Palatino Linotype" w:hAnsi="Palatino Linotype"/>
        </w:rPr>
        <w:t>“</w:t>
      </w:r>
      <w:r w:rsidRPr="00C25C6C">
        <w:rPr>
          <w:rFonts w:ascii="Palatino Linotype" w:hAnsi="Palatino Linotype"/>
        </w:rPr>
        <w:t>[Anna] created a welcoming environment in her discussion section so that people still felt comfortable asking and answering questions about new topics.</w:t>
      </w:r>
      <w:r w:rsidR="00494DF1">
        <w:rPr>
          <w:rFonts w:ascii="Palatino Linotype" w:hAnsi="Palatino Linotype"/>
        </w:rPr>
        <w:t>”</w:t>
      </w:r>
    </w:p>
    <w:p w14:paraId="6F5156B8" w14:textId="2F215B1A" w:rsidR="002F1953" w:rsidRPr="00C25C6C" w:rsidRDefault="002F1953" w:rsidP="00C25C6C">
      <w:pPr>
        <w:rPr>
          <w:rFonts w:ascii="Palatino Linotype" w:hAnsi="Palatino Linotype"/>
        </w:rPr>
      </w:pPr>
      <w:r>
        <w:rPr>
          <w:rFonts w:ascii="Palatino Linotype" w:hAnsi="Palatino Linotype"/>
        </w:rPr>
        <w:t>Thank you for your consideration.</w:t>
      </w:r>
    </w:p>
    <w:p w14:paraId="79150692" w14:textId="1F6B8243" w:rsidR="00996FAB" w:rsidRPr="006871C7" w:rsidRDefault="00A81D63" w:rsidP="006871C7">
      <w:pPr>
        <w:rPr>
          <w:rFonts w:ascii="Palatino Linotype" w:hAnsi="Palatino Linotype"/>
        </w:rPr>
      </w:pPr>
      <w:r w:rsidRPr="006871C7">
        <w:rPr>
          <w:rFonts w:ascii="Palatino Linotype" w:hAnsi="Palatino Linotype"/>
        </w:rPr>
        <w:t>Sincerely,</w:t>
      </w:r>
    </w:p>
    <w:p w14:paraId="35CF86FF" w14:textId="77777777" w:rsidR="00996FAB" w:rsidRPr="006871C7" w:rsidRDefault="00996FAB" w:rsidP="006871C7">
      <w:pPr>
        <w:rPr>
          <w:rFonts w:ascii="Palatino Linotype" w:hAnsi="Palatino Linotype"/>
        </w:rPr>
      </w:pPr>
    </w:p>
    <w:p w14:paraId="7CDC6EAD" w14:textId="77777777" w:rsidR="00996FAB" w:rsidRPr="006871C7" w:rsidRDefault="00996FAB" w:rsidP="006871C7">
      <w:pPr>
        <w:rPr>
          <w:rFonts w:ascii="Palatino Linotype" w:hAnsi="Palatino Linotype"/>
        </w:rPr>
      </w:pPr>
    </w:p>
    <w:p w14:paraId="59612BE7" w14:textId="77777777" w:rsidR="00996FAB" w:rsidRPr="006871C7" w:rsidRDefault="00996FAB" w:rsidP="006871C7">
      <w:pPr>
        <w:rPr>
          <w:rFonts w:ascii="Palatino Linotype" w:hAnsi="Palatino Linotype"/>
        </w:rPr>
      </w:pPr>
    </w:p>
    <w:p w14:paraId="171B7CA3" w14:textId="7FDE1FBF" w:rsidR="00996FAB" w:rsidRPr="006871C7" w:rsidRDefault="00996FAB" w:rsidP="006871C7">
      <w:pPr>
        <w:rPr>
          <w:rFonts w:ascii="Palatino Linotype" w:hAnsi="Palatino Linotype"/>
        </w:rPr>
      </w:pPr>
      <w:r w:rsidRPr="006871C7">
        <w:rPr>
          <w:rFonts w:ascii="Palatino Linotype" w:hAnsi="Palatino Linotype"/>
        </w:rPr>
        <w:t>Anna Ziff</w:t>
      </w:r>
    </w:p>
    <w:sectPr w:rsidR="00996FAB" w:rsidRPr="006871C7" w:rsidSect="008060CD">
      <w:headerReference w:type="default" r:id="rId8"/>
      <w:footerReference w:type="even" r:id="rId9"/>
      <w:footerReference w:type="default" r:id="rId10"/>
      <w:headerReference w:type="first" r:id="rId1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25327" w14:textId="77777777" w:rsidR="00A34AF9" w:rsidRDefault="00A34AF9" w:rsidP="00084D46">
      <w:pPr>
        <w:spacing w:after="0" w:line="240" w:lineRule="auto"/>
      </w:pPr>
      <w:r>
        <w:separator/>
      </w:r>
    </w:p>
  </w:endnote>
  <w:endnote w:type="continuationSeparator" w:id="0">
    <w:p w14:paraId="735237D9" w14:textId="77777777" w:rsidR="00A34AF9" w:rsidRDefault="00A34AF9" w:rsidP="00084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3568977"/>
      <w:docPartObj>
        <w:docPartGallery w:val="Page Numbers (Bottom of Page)"/>
        <w:docPartUnique/>
      </w:docPartObj>
    </w:sdtPr>
    <w:sdtContent>
      <w:p w14:paraId="2DA7D8E7" w14:textId="4949BC9D"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E63AD37" w14:textId="77777777" w:rsidR="00084D46" w:rsidRDefault="00084D46" w:rsidP="00A32E90">
    <w:pPr>
      <w:pStyle w:val="Footer"/>
      <w:ind w:right="360" w:firstLine="360"/>
    </w:pPr>
    <w:r>
      <w:tab/>
    </w:r>
    <w:r>
      <w:tab/>
    </w:r>
    <w:r w:rsidRPr="00775592">
      <w:rPr>
        <w:noProof/>
      </w:rPr>
      <w:drawing>
        <wp:inline distT="0" distB="0" distL="0" distR="0" wp14:anchorId="70EB723F" wp14:editId="138AD207">
          <wp:extent cx="2324100" cy="714375"/>
          <wp:effectExtent l="0" t="0" r="0" b="9525"/>
          <wp:docPr id="28" name="Picture 28" descr="https://econ.duke.edu/sites/econ.duke.edu/files/file-attachments/Duke%20Econ%20Logo%20-%20dept%20of%20econ%20blue%20trans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on.duke.edu/sites/econ.duke.edu/files/file-attachments/Duke%20Econ%20Logo%20-%20dept%20of%20econ%20blue%20transpo.png"/>
                  <pic:cNvPicPr>
                    <a:picLocks noChangeAspect="1" noChangeArrowheads="1"/>
                  </pic:cNvPicPr>
                </pic:nvPicPr>
                <pic:blipFill>
                  <a:blip r:embed="rId1">
                    <a:extLst>
                      <a:ext uri="{28A0092B-C50C-407E-A947-70E740481C1C}">
                        <a14:useLocalDpi xmlns:a14="http://schemas.microsoft.com/office/drawing/2010/main" val="0"/>
                      </a:ext>
                    </a:extLst>
                  </a:blip>
                  <a:srcRect r="5792"/>
                  <a:stretch>
                    <a:fillRect/>
                  </a:stretch>
                </pic:blipFill>
                <pic:spPr bwMode="auto">
                  <a:xfrm>
                    <a:off x="0" y="0"/>
                    <a:ext cx="2324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428614"/>
      <w:docPartObj>
        <w:docPartGallery w:val="Page Numbers (Bottom of Page)"/>
        <w:docPartUnique/>
      </w:docPartObj>
    </w:sdtPr>
    <w:sdtContent>
      <w:p w14:paraId="2CD59C8B" w14:textId="29DB4873" w:rsidR="00A32E90" w:rsidRDefault="00A32E90" w:rsidP="00806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65EA21" w14:textId="77777777" w:rsidR="00084D46" w:rsidRDefault="00084D46" w:rsidP="00A32E90">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D2250" w14:textId="77777777" w:rsidR="00A34AF9" w:rsidRDefault="00A34AF9" w:rsidP="00084D46">
      <w:pPr>
        <w:spacing w:after="0" w:line="240" w:lineRule="auto"/>
      </w:pPr>
      <w:r>
        <w:separator/>
      </w:r>
    </w:p>
  </w:footnote>
  <w:footnote w:type="continuationSeparator" w:id="0">
    <w:p w14:paraId="544D8586" w14:textId="77777777" w:rsidR="00A34AF9" w:rsidRDefault="00A34AF9" w:rsidP="00084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FD16" w14:textId="77777777" w:rsidR="00084D46" w:rsidRDefault="00084D46">
    <w:pPr>
      <w:pStyle w:val="Header"/>
    </w:pPr>
  </w:p>
  <w:p w14:paraId="13D92610" w14:textId="08BA4BCB" w:rsidR="00084D46" w:rsidRDefault="00084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EFFA" w14:textId="715DFBDA" w:rsidR="008060CD" w:rsidRDefault="008060CD">
    <w:pPr>
      <w:pStyle w:val="Header"/>
    </w:pPr>
    <w:r w:rsidRPr="002B76F8">
      <w:rPr>
        <w:rFonts w:ascii="Times New Roman" w:hAnsi="Times New Roman"/>
        <w:noProof/>
      </w:rPr>
      <w:drawing>
        <wp:anchor distT="0" distB="0" distL="114300" distR="114300" simplePos="0" relativeHeight="251661312" behindDoc="1" locked="0" layoutInCell="0" allowOverlap="0" wp14:anchorId="3D93D202" wp14:editId="2A6F3E6B">
          <wp:simplePos x="0" y="0"/>
          <wp:positionH relativeFrom="page">
            <wp:posOffset>38100</wp:posOffset>
          </wp:positionH>
          <wp:positionV relativeFrom="page">
            <wp:posOffset>375920</wp:posOffset>
          </wp:positionV>
          <wp:extent cx="7762875" cy="1391920"/>
          <wp:effectExtent l="0" t="0" r="9525" b="0"/>
          <wp:wrapTight wrapText="bothSides">
            <wp:wrapPolygon edited="0">
              <wp:start x="0" y="0"/>
              <wp:lineTo x="0" y="21285"/>
              <wp:lineTo x="21573" y="21285"/>
              <wp:lineTo x="21573" y="0"/>
              <wp:lineTo x="0" y="0"/>
            </wp:wrapPolygon>
          </wp:wrapTight>
          <wp:docPr id="1216233510" name="Picture 1216233510"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3510" name="Picture 1216233510" descr="A white background with black dot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t="32649"/>
                  <a:stretch>
                    <a:fillRect/>
                  </a:stretch>
                </pic:blipFill>
                <pic:spPr bwMode="auto">
                  <a:xfrm>
                    <a:off x="0" y="0"/>
                    <a:ext cx="7762875" cy="13919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D46"/>
    <w:rsid w:val="0003551C"/>
    <w:rsid w:val="00084D46"/>
    <w:rsid w:val="000A7946"/>
    <w:rsid w:val="000E16AE"/>
    <w:rsid w:val="0024699A"/>
    <w:rsid w:val="002719C8"/>
    <w:rsid w:val="002D147B"/>
    <w:rsid w:val="002F1953"/>
    <w:rsid w:val="00324D04"/>
    <w:rsid w:val="0037714A"/>
    <w:rsid w:val="00383855"/>
    <w:rsid w:val="0040397C"/>
    <w:rsid w:val="00494DF1"/>
    <w:rsid w:val="004D16E4"/>
    <w:rsid w:val="004E436C"/>
    <w:rsid w:val="004E4652"/>
    <w:rsid w:val="0050024A"/>
    <w:rsid w:val="00503900"/>
    <w:rsid w:val="005C06A2"/>
    <w:rsid w:val="006640B0"/>
    <w:rsid w:val="006871C7"/>
    <w:rsid w:val="006C2972"/>
    <w:rsid w:val="006D4167"/>
    <w:rsid w:val="008060CD"/>
    <w:rsid w:val="008B3B21"/>
    <w:rsid w:val="008D685D"/>
    <w:rsid w:val="009311AB"/>
    <w:rsid w:val="00996FAB"/>
    <w:rsid w:val="009B212E"/>
    <w:rsid w:val="009B7C96"/>
    <w:rsid w:val="009D20A5"/>
    <w:rsid w:val="009D3146"/>
    <w:rsid w:val="00A02829"/>
    <w:rsid w:val="00A32E90"/>
    <w:rsid w:val="00A34AF9"/>
    <w:rsid w:val="00A81D63"/>
    <w:rsid w:val="00AF50CD"/>
    <w:rsid w:val="00C25C6C"/>
    <w:rsid w:val="00C476E0"/>
    <w:rsid w:val="00E822A2"/>
    <w:rsid w:val="00EA7C9B"/>
    <w:rsid w:val="00EF0334"/>
    <w:rsid w:val="00FD67BE"/>
    <w:rsid w:val="00FE3A5B"/>
    <w:rsid w:val="00FF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13FE6"/>
  <w15:chartTrackingRefBased/>
  <w15:docId w15:val="{61B2908C-3BDC-42FB-9494-C22AA8B3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D46"/>
  </w:style>
  <w:style w:type="paragraph" w:styleId="Footer">
    <w:name w:val="footer"/>
    <w:basedOn w:val="Normal"/>
    <w:link w:val="FooterChar"/>
    <w:uiPriority w:val="99"/>
    <w:unhideWhenUsed/>
    <w:rsid w:val="00084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D46"/>
  </w:style>
  <w:style w:type="paragraph" w:styleId="NormalWeb">
    <w:name w:val="Normal (Web)"/>
    <w:basedOn w:val="Normal"/>
    <w:uiPriority w:val="99"/>
    <w:semiHidden/>
    <w:unhideWhenUsed/>
    <w:rsid w:val="008B3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B3B21"/>
  </w:style>
  <w:style w:type="paragraph" w:styleId="NoSpacing">
    <w:name w:val="No Spacing"/>
    <w:uiPriority w:val="1"/>
    <w:qFormat/>
    <w:rsid w:val="006871C7"/>
    <w:pPr>
      <w:spacing w:after="0" w:line="240" w:lineRule="auto"/>
    </w:pPr>
  </w:style>
  <w:style w:type="character" w:styleId="PageNumber">
    <w:name w:val="page number"/>
    <w:basedOn w:val="DefaultParagraphFont"/>
    <w:uiPriority w:val="99"/>
    <w:semiHidden/>
    <w:unhideWhenUsed/>
    <w:rsid w:val="00A32E90"/>
  </w:style>
  <w:style w:type="character" w:styleId="Hyperlink">
    <w:name w:val="Hyperlink"/>
    <w:basedOn w:val="DefaultParagraphFont"/>
    <w:uiPriority w:val="99"/>
    <w:unhideWhenUsed/>
    <w:rsid w:val="00C25C6C"/>
    <w:rPr>
      <w:color w:val="0563C1" w:themeColor="hyperlink"/>
      <w:u w:val="single"/>
    </w:rPr>
  </w:style>
  <w:style w:type="character" w:styleId="UnresolvedMention">
    <w:name w:val="Unresolved Mention"/>
    <w:basedOn w:val="DefaultParagraphFont"/>
    <w:uiPriority w:val="99"/>
    <w:semiHidden/>
    <w:unhideWhenUsed/>
    <w:rsid w:val="00C25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048012">
      <w:bodyDiv w:val="1"/>
      <w:marLeft w:val="0"/>
      <w:marRight w:val="0"/>
      <w:marTop w:val="0"/>
      <w:marBottom w:val="0"/>
      <w:divBdr>
        <w:top w:val="none" w:sz="0" w:space="0" w:color="auto"/>
        <w:left w:val="none" w:sz="0" w:space="0" w:color="auto"/>
        <w:bottom w:val="none" w:sz="0" w:space="0" w:color="auto"/>
        <w:right w:val="none" w:sz="0" w:space="0" w:color="auto"/>
      </w:divBdr>
      <w:divsChild>
        <w:div w:id="299262765">
          <w:marLeft w:val="0"/>
          <w:marRight w:val="0"/>
          <w:marTop w:val="0"/>
          <w:marBottom w:val="0"/>
          <w:divBdr>
            <w:top w:val="none" w:sz="0" w:space="0" w:color="auto"/>
            <w:left w:val="none" w:sz="0" w:space="0" w:color="auto"/>
            <w:bottom w:val="none" w:sz="0" w:space="0" w:color="auto"/>
            <w:right w:val="none" w:sz="0" w:space="0" w:color="auto"/>
          </w:divBdr>
          <w:divsChild>
            <w:div w:id="1970548603">
              <w:marLeft w:val="0"/>
              <w:marRight w:val="0"/>
              <w:marTop w:val="0"/>
              <w:marBottom w:val="0"/>
              <w:divBdr>
                <w:top w:val="none" w:sz="0" w:space="0" w:color="auto"/>
                <w:left w:val="none" w:sz="0" w:space="0" w:color="auto"/>
                <w:bottom w:val="none" w:sz="0" w:space="0" w:color="auto"/>
                <w:right w:val="none" w:sz="0" w:space="0" w:color="auto"/>
              </w:divBdr>
              <w:divsChild>
                <w:div w:id="14830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178">
      <w:bodyDiv w:val="1"/>
      <w:marLeft w:val="0"/>
      <w:marRight w:val="0"/>
      <w:marTop w:val="0"/>
      <w:marBottom w:val="0"/>
      <w:divBdr>
        <w:top w:val="none" w:sz="0" w:space="0" w:color="auto"/>
        <w:left w:val="none" w:sz="0" w:space="0" w:color="auto"/>
        <w:bottom w:val="none" w:sz="0" w:space="0" w:color="auto"/>
        <w:right w:val="none" w:sz="0" w:space="0" w:color="auto"/>
      </w:divBdr>
    </w:div>
    <w:div w:id="2035424029">
      <w:bodyDiv w:val="1"/>
      <w:marLeft w:val="0"/>
      <w:marRight w:val="0"/>
      <w:marTop w:val="0"/>
      <w:marBottom w:val="0"/>
      <w:divBdr>
        <w:top w:val="none" w:sz="0" w:space="0" w:color="auto"/>
        <w:left w:val="none" w:sz="0" w:space="0" w:color="auto"/>
        <w:bottom w:val="none" w:sz="0" w:space="0" w:color="auto"/>
        <w:right w:val="none" w:sz="0" w:space="0" w:color="auto"/>
      </w:divBdr>
      <w:divsChild>
        <w:div w:id="300117029">
          <w:marLeft w:val="0"/>
          <w:marRight w:val="0"/>
          <w:marTop w:val="0"/>
          <w:marBottom w:val="0"/>
          <w:divBdr>
            <w:top w:val="none" w:sz="0" w:space="0" w:color="auto"/>
            <w:left w:val="none" w:sz="0" w:space="0" w:color="auto"/>
            <w:bottom w:val="none" w:sz="0" w:space="0" w:color="auto"/>
            <w:right w:val="none" w:sz="0" w:space="0" w:color="auto"/>
          </w:divBdr>
          <w:divsChild>
            <w:div w:id="253394249">
              <w:marLeft w:val="0"/>
              <w:marRight w:val="0"/>
              <w:marTop w:val="0"/>
              <w:marBottom w:val="0"/>
              <w:divBdr>
                <w:top w:val="none" w:sz="0" w:space="0" w:color="auto"/>
                <w:left w:val="none" w:sz="0" w:space="0" w:color="auto"/>
                <w:bottom w:val="none" w:sz="0" w:space="0" w:color="auto"/>
                <w:right w:val="none" w:sz="0" w:space="0" w:color="auto"/>
              </w:divBdr>
              <w:divsChild>
                <w:div w:id="16524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ziff/R-Workflow-for-Economis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radschool.duke.edu/professional-development/programs/certificate-college-teachin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Christyn Klinck</dc:creator>
  <cp:keywords/>
  <dc:description/>
  <cp:lastModifiedBy>Anna Ziff</cp:lastModifiedBy>
  <cp:revision>28</cp:revision>
  <dcterms:created xsi:type="dcterms:W3CDTF">2020-02-21T16:24:00Z</dcterms:created>
  <dcterms:modified xsi:type="dcterms:W3CDTF">2023-10-21T16:27:00Z</dcterms:modified>
</cp:coreProperties>
</file>