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E293B"/>
          <w:sz w:val="40"/>
          <w:szCs w:val="40"/>
        </w:rPr>
        <w:t xml:space="preserve">Exazon Research</w:t>
      </w:r>
    </w:p>
    <w:p>
      <w:pPr>
        <w:spacing w:after="300"/>
      </w:pPr>
      <w:r>
        <w:rPr>
          <w:b/>
          <w:bCs/>
          <w:color w:val="C8A84B"/>
          <w:sz w:val="26"/>
          <w:szCs w:val="26"/>
        </w:rPr>
        <w:t xml:space="preserve">CVF Document Package — Change Log</w:t>
      </w:r>
    </w:p>
    <w:p>
      <w:pPr>
        <w:spacing w:after="120"/>
      </w:pPr>
      <w:r>
        <w:rPr>
          <w:i/>
          <w:iCs/>
          <w:color w:val="475569"/>
          <w:sz w:val="21"/>
          <w:szCs w:val="21"/>
        </w:rPr>
        <w:t xml:space="preserve">This document lists everything Claude changed, reorganized, or deliberately left untouched, comparing the final package (“Exazon_CVF_Package_FINAL.zip”) against the original zip Azii provided from GitHub (“Final ist to give to each CVF.zip”, including its nested “files.zip”).</w:t>
      </w:r>
    </w:p>
    <w:p>
      <w:pPr>
        <w:pStyle w:val="Heading1"/>
        <w:spacing w:after="200" w:before="400"/>
      </w:pPr>
      <w:r>
        <w:rPr>
          <w:b/>
          <w:bCs/>
          <w:color w:val="1E293B"/>
          <w:sz w:val="32"/>
          <w:szCs w:val="32"/>
        </w:rPr>
        <w:t xml:space="preserve">1. Starting Point</w:t>
      </w:r>
    </w:p>
    <w:p>
      <w:pPr>
        <w:spacing w:after="120"/>
      </w:pPr>
      <w:r>
        <w:rPr>
          <w:b/>
          <w:bCs/>
          <w:color w:val="1E293B"/>
          <w:sz w:val="21"/>
          <w:szCs w:val="21"/>
        </w:rPr>
        <w:t xml:space="preserve">Source file: </w:t>
      </w:r>
      <w:r>
        <w:rPr>
          <w:color w:val="475569"/>
          <w:sz w:val="21"/>
          <w:szCs w:val="21"/>
        </w:rPr>
        <w:t xml:space="preserve">“Final ist to give to each CVF.zip” — contained a Client/, Vendor/, Frelancer/, and Reference/ folder, plus a nested files.zip with three PDFs Azii had already hand-corrected herself (NDA, MSA, SOW), and two prompt files (Prompt_1_Document_Audit_Fix.md, Prompt_2_Universal_Onboarding_Negotiation.md) describing the audit Azii wanted run.</w:t>
      </w:r>
    </w:p>
    <w:p>
      <w:pPr>
        <w:spacing w:after="120"/>
      </w:pPr>
      <w:r>
        <w:rPr>
          <w:b/>
          <w:bCs/>
          <w:color w:val="1E293B"/>
          <w:sz w:val="21"/>
          <w:szCs w:val="21"/>
        </w:rPr>
        <w:t xml:space="preserve">What was checked: </w:t>
      </w:r>
      <w:r>
        <w:rPr>
          <w:color w:val="475569"/>
          <w:sz w:val="21"/>
          <w:szCs w:val="21"/>
        </w:rPr>
        <w:t xml:space="preserve">every PDF and HTML file was read in full and checked against Prompt 1's criteria — false certification/membership claims, cross-document contradictions, leftover placeholder text, inconsistent numbers, confidentiality-label conflicts, and branding consistency.</w:t>
      </w:r>
    </w:p>
    <w:p>
      <w:pPr>
        <w:pStyle w:val="Heading1"/>
        <w:spacing w:after="200" w:before="400"/>
      </w:pPr>
      <w:r>
        <w:rPr>
          <w:b/>
          <w:bCs/>
          <w:color w:val="1E293B"/>
          <w:sz w:val="32"/>
          <w:szCs w:val="32"/>
        </w:rPr>
        <w:t xml:space="preserve">2. What Was Actually Changed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  <w:gridCol w:w="1500"/>
      </w:tblGrid>
      <w:tr>
        <w:tc>
          <w:tcPr>
            <w:tcW w:type="pct" w:w="33%"/>
            <w:shd w:fill="1E29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pct" w:w="55%"/>
            <w:shd w:fill="1E29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pct" w:w="12%"/>
            <w:shd w:fill="1E29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Client/3_Master_Service_Agreement.pdf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Replaced with Azii's own already-corrected version (from the separately-provided 'files' folder) — fixes false certification-membership language.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REPLACED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Client/4_Statement_of_Work.pdf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Replaced with Azii's own already-corrected version (from the 'files' folder) — fixes a data-ownership clause that contradicted the MSA.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REPLACED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Client/1_Client_NDA_Confidentiality_Agreement.pdf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Also swapped in the 'files' folder's copy for consistency, though this one was already identical to the original.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REPLACED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Reference/Rate_Card.html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Two footer/badge tags read “CONFIDENTIAL · BD USE ONLY · DO NOT SHARE EXTERNALLY.” Reworded to “CONFIDENTIAL — PROPRIETARY PRICING” and “PREPARED SPECIFICALLY FOR THE RECIPIENT. NOT FOR FURTHER REDISTRIBUTION.” so it no longer contradicts being included in an external-facing package.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EDITED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Entire package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Reorganized into four folders — Client, Vendor, Freelancer, Internal_Do_Not_Share_Externally — based on the distribution logic already defined in Reference/Document_Master_Guide.html, so each party only receives what they should.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b/>
                <w:bCs/>
                <w:color w:val="C8A84B"/>
                <w:sz w:val="19"/>
                <w:szCs w:val="19"/>
              </w:rPr>
              <w:t xml:space="preserve">REORGANIZED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“My Pic Ai.png”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Left out of the final package. It's an AI-generated “CEO portrait” image (not a real photo) and isn't currently embedded in any document — flagged so it doesn't get used later as if it were a real photo.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EXCLUDED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E293B"/>
          <w:sz w:val="32"/>
          <w:szCs w:val="32"/>
        </w:rPr>
        <w:t xml:space="preserve">3. What Was Checked and Left Alone</w:t>
      </w:r>
    </w:p>
    <w:p>
      <w:pPr>
        <w:spacing w:after="120"/>
      </w:pPr>
      <w:r>
        <w:rPr>
          <w:i w:val="false"/>
          <w:iCs w:val="false"/>
          <w:color w:val="475569"/>
          <w:sz w:val="21"/>
          <w:szCs w:val="21"/>
        </w:rPr>
        <w:t xml:space="preserve">These were read in full against the same checklist — no issues were found, so nothing was edited.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c>
          <w:tcPr>
            <w:tcW w:type="pct" w:w="45%"/>
            <w:shd w:fill="1E29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pct" w:w="55%"/>
            <w:shd w:fill="1E29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nothing changed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Vendor_Agreement.pdf, Vendor_DPA.pdf, Purchase_Order.pdf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Checked line-by-line for false certification claims and cross-document contradictions — none found.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Freelancer_Consultant_Agreement.pdf, Recruiter_NDA.pdf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Same checks, genuinely clean.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Exazon_Company_Profile_2026.pdf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Already uses honest language throughout (“voluntarily aligned,” “not a registered member,” “planned as we scale”) — nothing to fix.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Exazon_Panel_Book_2026.pdf, Exazon_ESOMAR_37_Transparency.pdf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These describe a directly-operated panel in detail (member profiling, points system, country-by-country numbers). Flagged this for confirmation — Azii confirmed it's accurate to the real business, just that formal third-party certification hasn't been obtained yet (which the documents already state correctly). No edit needed.</w:t>
            </w:r>
          </w:p>
        </w:tc>
      </w:tr>
      <w:tr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CSAT_Feedback_Form_FIXED.html, all other HTML docs (Quotation, Change Order, Completion Certificate, SLA, Terms, Onboarding Checklists)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Read through fully — no false claims, no leftover placeholder text, no contradictions found.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E293B"/>
          <w:sz w:val="32"/>
          <w:szCs w:val="32"/>
        </w:rPr>
        <w:t xml:space="preserve">4. Final Package Structure</w:t>
      </w:r>
    </w:p>
    <w:p>
      <w:pPr>
        <w:spacing w:after="120"/>
      </w:pPr>
      <w:r>
        <w:rPr>
          <w:b/>
          <w:bCs/>
          <w:color w:val="1E293B"/>
          <w:sz w:val="21"/>
          <w:szCs w:val="21"/>
        </w:rPr>
        <w:t xml:space="preserve">Client/ (14 files): </w:t>
      </w:r>
      <w:r>
        <w:rPr>
          <w:color w:val="475569"/>
          <w:sz w:val="21"/>
          <w:szCs w:val="21"/>
        </w:rPr>
        <w:t xml:space="preserve">NDA, Quotation Template, MSA (fixed), SOW (fixed), DPA, Proforma Invoice, Change Order, Final Tax Invoice, Project Completion Certificate, CSAT Form, plus SLA Overview, Company Profile, ESOMAR-37 Transparency doc, and Panel Book (the credibility/reference materials Document_Master_Guide.html says go to clients).</w:t>
      </w:r>
    </w:p>
    <w:p>
      <w:pPr>
        <w:spacing w:after="120"/>
      </w:pPr>
      <w:r>
        <w:rPr>
          <w:b/>
          <w:bCs/>
          <w:color w:val="1E293B"/>
          <w:sz w:val="21"/>
          <w:szCs w:val="21"/>
        </w:rPr>
        <w:t xml:space="preserve">Vendor/ (4 files): </w:t>
      </w:r>
      <w:r>
        <w:rPr>
          <w:color w:val="475569"/>
          <w:sz w:val="21"/>
          <w:szCs w:val="21"/>
        </w:rPr>
        <w:t xml:space="preserve">Vendor Agreement, DPA, Purchase Order, plus Company Profile.</w:t>
      </w:r>
    </w:p>
    <w:p>
      <w:pPr>
        <w:spacing w:after="120"/>
      </w:pPr>
      <w:r>
        <w:rPr>
          <w:b/>
          <w:bCs/>
          <w:color w:val="1E293B"/>
          <w:sz w:val="21"/>
          <w:szCs w:val="21"/>
        </w:rPr>
        <w:t xml:space="preserve">Freelancer/ (3 files): </w:t>
      </w:r>
      <w:r>
        <w:rPr>
          <w:color w:val="475569"/>
          <w:sz w:val="21"/>
          <w:szCs w:val="21"/>
        </w:rPr>
        <w:t xml:space="preserve">Freelancer &amp; Consultant Agreement, Recruiter NDA &amp; Non-Circumvention Agreement, plus Company Profile.</w:t>
      </w:r>
    </w:p>
    <w:p>
      <w:pPr>
        <w:spacing w:after="120"/>
      </w:pPr>
      <w:r>
        <w:rPr>
          <w:b/>
          <w:bCs/>
          <w:color w:val="1E293B"/>
          <w:sz w:val="21"/>
          <w:szCs w:val="21"/>
        </w:rPr>
        <w:t xml:space="preserve">Internal_Do_Not_Share_Externally/ (6 files): </w:t>
      </w:r>
      <w:r>
        <w:rPr>
          <w:color w:val="475569"/>
          <w:sz w:val="21"/>
          <w:szCs w:val="21"/>
        </w:rPr>
        <w:t xml:space="preserve">Document Master Guide, both Onboarding Checklists, the fixed Rate Card, Terms &amp; Conditions, and the Exazon Research Master Reference Document (contains internal technical/system details — never send this to anyone outside the company).</w:t>
      </w:r>
    </w:p>
    <w:p>
      <w:pPr>
        <w:pStyle w:val="Heading1"/>
        <w:spacing w:after="200" w:before="400"/>
      </w:pPr>
      <w:r>
        <w:rPr>
          <w:b/>
          <w:bCs/>
          <w:color w:val="1E293B"/>
          <w:sz w:val="32"/>
          <w:szCs w:val="32"/>
        </w:rPr>
        <w:t xml:space="preserve">5. One Thing Worth Double-Checking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75569"/>
          <w:sz w:val="21"/>
          <w:szCs w:val="21"/>
        </w:rPr>
        <w:t xml:space="preserve">Claude checked every document's text content carefully, but did not visually proof every rendered PDF page pixel-by-pixel. A quick skim of each PDF on Azii's own screen before sending to a real client is still worth doing, just as a final visual sanity-check.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75569"/>
          <w:sz w:val="21"/>
          <w:szCs w:val="21"/>
        </w:rPr>
        <w:t xml:space="preserve">None of this is a substitute for a lawyer's review before these are used on a genuinely high-value deal — the content is now internally consistent and honest, but Claude is not a lawyer.</w:t>
      </w:r>
    </w:p>
    <w:p>
      <w:pPr>
        <w:pStyle w:val="Heading1"/>
      </w:pPr>
      <w:r>
        <w:t>6. Regression Found in a Later-Provided Copy (this pass)</w:t>
      </w:r>
    </w:p>
    <w:p>
      <w:r>
        <w:t>Azii separately provided two more zips for a fresh check: “Exazon_CVF_Package_FINALcl.zip” and a second “Final ist to give to each CVF.zip.” Comparing both against the fixes described above surfaced a real regression — the second zip had reverted to pre-fix content in several places, and one file inside it posed a genuine security risk. Both are documented below so this doesn't happen silently again.</w:t>
      </w:r>
    </w:p>
    <w:p>
      <w:pPr>
        <w:pStyle w:val="Heading1"/>
      </w:pPr>
      <w:r>
        <w:t>7. What Was Found This Pass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3120"/>
          </w:tcPr>
          <w:p>
            <w:r>
              <w:t>“Exazon Research – Master Reference Document.docx” (contains a real admin login URL and default password for an internal panel system) was sitting inside a “Reference” folder that sat alongside Client/Vendor/Freelancer — i.e. positioned as if it were part of what gets handed to outside parties, not clearly walled off as internal-only.</w:t>
            </w:r>
          </w:p>
        </w:tc>
        <w:tc>
          <w:tcPr>
            <w:tcW w:type="dxa" w:w="3120"/>
          </w:tcPr>
          <w:p>
            <w:r>
              <w:t>“Final ist to give to each CVF.zip” → Reference/</w:t>
            </w:r>
          </w:p>
        </w:tc>
        <w:tc>
          <w:tcPr>
            <w:tcW w:type="dxa" w:w="3120"/>
          </w:tcPr>
          <w:p>
            <w:r>
              <w:t>Critical — credential leak risk</w:t>
            </w:r>
          </w:p>
        </w:tc>
      </w:tr>
      <w:tr>
        <w:tc>
          <w:tcPr>
            <w:tcW w:type="dxa" w:w="3120"/>
          </w:tcPr>
          <w:p>
            <w:r>
              <w:t>Client/3_Master_Service_Agreement.pdf had reverted to the old wording (“operates in compliance with” ESOMAR/MRSI/ISO, implying formal membership/certification that doesn't exist) — the exact false-claim issue Section 2 already fixed once.</w:t>
            </w:r>
          </w:p>
        </w:tc>
        <w:tc>
          <w:tcPr>
            <w:tcW w:type="dxa" w:w="3120"/>
          </w:tcPr>
          <w:p>
            <w:r>
              <w:t>“Final ist to give to each CVF.zip” → Client/</w:t>
            </w:r>
          </w:p>
        </w:tc>
        <w:tc>
          <w:tcPr>
            <w:tcW w:type="dxa" w:w="3120"/>
          </w:tcPr>
          <w:p>
            <w:r>
              <w:t>Critical — false claim in a signed contract</w:t>
            </w:r>
          </w:p>
        </w:tc>
      </w:tr>
      <w:tr>
        <w:tc>
          <w:tcPr>
            <w:tcW w:type="dxa" w:w="3120"/>
          </w:tcPr>
          <w:p>
            <w:r>
              <w:t>Client/4_Statement_of_Work.pdf had reverted to “All data collected… is confidential and owned by the Client” with no mention of Exazon's retained rights over raw respondent data/panel infrastructure — contradicting the MSA again.</w:t>
            </w:r>
          </w:p>
        </w:tc>
        <w:tc>
          <w:tcPr>
            <w:tcW w:type="dxa" w:w="3120"/>
          </w:tcPr>
          <w:p>
            <w:r>
              <w:t>“Final ist to give to each CVF.zip” → Client/</w:t>
            </w:r>
          </w:p>
        </w:tc>
        <w:tc>
          <w:tcPr>
            <w:tcW w:type="dxa" w:w="3120"/>
          </w:tcPr>
          <w:p>
            <w:r>
              <w:t>Critical — contract contradiction</w:t>
            </w:r>
          </w:p>
        </w:tc>
      </w:tr>
      <w:tr>
        <w:tc>
          <w:tcPr>
            <w:tcW w:type="dxa" w:w="3120"/>
          </w:tcPr>
          <w:p>
            <w:r>
              <w:t>Reference/Rate_Card.html had reverted to “CONFIDENTIAL · BD USE ONLY · DO NOT SHARE EXTERNALLY” — the exact internal-only label Section 2 had already reworded.</w:t>
            </w:r>
          </w:p>
        </w:tc>
        <w:tc>
          <w:tcPr>
            <w:tcW w:type="dxa" w:w="3120"/>
          </w:tcPr>
          <w:p>
            <w:r>
              <w:t>“Final ist to give to each CVF.zip” → Reference/</w:t>
            </w:r>
          </w:p>
        </w:tc>
        <w:tc>
          <w:tcPr>
            <w:tcW w:type="dxa" w:w="3120"/>
          </w:tcPr>
          <w:p>
            <w:r>
              <w:t>High — internal label in an external doc</w:t>
            </w:r>
          </w:p>
        </w:tc>
      </w:tr>
      <w:tr>
        <w:tc>
          <w:tcPr>
            <w:tcW w:type="dxa" w:w="3120"/>
          </w:tcPr>
          <w:p>
            <w:r>
              <w:t>Client/4_Statement_of_Work.pdf (the other zip, “FINALcl”) rendered correctly on screen, but the old, pre-fix paragraph text was still present underneath at the text layer — a redaction had covered it visually without removing the underlying text, so copy-pasting or screen-reading the PDF would have surfaced the old contradictory wording.</w:t>
            </w:r>
          </w:p>
        </w:tc>
        <w:tc>
          <w:tcPr>
            <w:tcW w:type="dxa" w:w="3120"/>
          </w:tcPr>
          <w:p>
            <w:r>
              <w:t>“Exazon_CVF_Package_FINALcl.zip” → Client/</w:t>
            </w:r>
          </w:p>
        </w:tc>
        <w:tc>
          <w:tcPr>
            <w:tcW w:type="dxa" w:w="3120"/>
          </w:tcPr>
          <w:p>
            <w:r>
              <w:t>Medium — hidden text, not visible but extractable</w:t>
            </w:r>
          </w:p>
        </w:tc>
      </w:tr>
    </w:tbl>
    <w:p>
      <w:pPr>
        <w:pStyle w:val="Heading1"/>
      </w:pPr>
      <w:r>
        <w:t>8. What Was Fixed / Rebuilt</w:t>
      </w:r>
    </w:p>
    <w:p>
      <w:r>
        <w:t>Rather than patch the regressed zip in place, the package was rebuilt from the copy that still had the correct content, then split into two clearly-separated deliverables: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Client/4_Statement_of_Work.pdf</w:t>
            </w:r>
          </w:p>
        </w:tc>
        <w:tc>
          <w:tcPr>
            <w:tcW w:type="dxa" w:w="3120"/>
          </w:tcPr>
          <w:p>
            <w:r>
              <w:t>Re-redacted properly this time — confirmed via text extraction that no old wording remains anywhere in the file, not just visually.</w:t>
            </w:r>
          </w:p>
        </w:tc>
        <w:tc>
          <w:tcPr>
            <w:tcW w:type="dxa" w:w="3120"/>
          </w:tcPr>
          <w:p>
            <w:r>
              <w:t>FIXED (true redaction)</w:t>
            </w:r>
          </w:p>
        </w:tc>
      </w:tr>
      <w:tr>
        <w:tc>
          <w:tcPr>
            <w:tcW w:type="dxa" w:w="3120"/>
          </w:tcPr>
          <w:p>
            <w:r>
              <w:t>Exazon_WORKING_REFERENCE_full.zip</w:t>
            </w:r>
          </w:p>
        </w:tc>
        <w:tc>
          <w:tcPr>
            <w:tcW w:type="dxa" w:w="3120"/>
          </w:tcPr>
          <w:p>
            <w:r>
              <w:t>Everything, including Internal_Do_Not_Share_Externally/ (Document Master Guide, both onboarding checklists, Rate Card, Terms &amp; Conditions, and the Master Reference Document with system credentials). For Azii's own use only — never to be forwarded as-is.</w:t>
            </w:r>
          </w:p>
        </w:tc>
        <w:tc>
          <w:tcPr>
            <w:tcW w:type="dxa" w:w="3120"/>
          </w:tcPr>
          <w:p>
            <w:r>
              <w:t>NEW DELIVERABLE (internal)</w:t>
            </w:r>
          </w:p>
        </w:tc>
      </w:tr>
      <w:tr>
        <w:tc>
          <w:tcPr>
            <w:tcW w:type="dxa" w:w="3120"/>
          </w:tcPr>
          <w:p>
            <w:r>
              <w:t>Exazon_CVF_DISTRIBUTION_safe.zip</w:t>
            </w:r>
          </w:p>
        </w:tc>
        <w:tc>
          <w:tcPr>
            <w:tcW w:type="dxa" w:w="3120"/>
          </w:tcPr>
          <w:p>
            <w:r>
              <w:t>Only Client/, Vendor/, Freelancer/ — no internal folder, no credentials document, no internal-only labels. This is the one that's safe to actually hand to a Client, Vendor, or Freelancer.</w:t>
            </w:r>
          </w:p>
        </w:tc>
        <w:tc>
          <w:tcPr>
            <w:tcW w:type="dxa" w:w="3120"/>
          </w:tcPr>
          <w:p>
            <w:r>
              <w:t>NEW DELIVERABLE (external-safe)</w:t>
            </w:r>
          </w:p>
        </w:tc>
      </w:tr>
    </w:tbl>
    <w:p>
      <w:pPr>
        <w:pStyle w:val="Heading1"/>
      </w:pPr>
      <w:r>
        <w:t>9. Takeaway for Next Time</w:t>
      </w:r>
    </w:p>
    <w:p>
      <w:r>
        <w:t>The content itself was fine once fixed — the risk came from multiple copies of the same package existing at once, with no way to tell which one was current. Going forward: treat the Internal_Do_Not_Share_Externally folder as something that should never sit in the same zip that's handed to an outside party, even organized in a separate subfolder — keep the internal-reference zip and the CVF-distribution zip as two physically separate files, as done in Section 8, so there's no version where the wrong one can be sent by mistake.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2026-08-15T12:30:07.177Z</dcterms:created>
  <dcterms:modified xsi:type="dcterms:W3CDTF">2026-08-15T12:30:07.190Z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