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A868A" w14:textId="77777777" w:rsidR="00B27845" w:rsidRDefault="00000000">
      <w:pPr>
        <w:spacing w:after="240"/>
        <w:jc w:val="center"/>
      </w:pPr>
      <w:r>
        <w:rPr>
          <w:b/>
          <w:sz w:val="28"/>
        </w:rPr>
        <w:t>Convergence by Design: A First-Principles Monetary Architecture and Its Alignment with Classical Islamic Economic Objectives</w:t>
      </w:r>
    </w:p>
    <w:p w14:paraId="21F82B7C" w14:textId="77777777" w:rsidR="00B27845" w:rsidRDefault="00000000">
      <w:pPr>
        <w:jc w:val="center"/>
      </w:pPr>
      <w:r>
        <w:t>M. Azim Abdul Majeed</w:t>
      </w:r>
    </w:p>
    <w:p w14:paraId="48A8F53C" w14:textId="77777777" w:rsidR="00B27845" w:rsidRDefault="00000000">
      <w:pPr>
        <w:spacing w:after="240"/>
        <w:jc w:val="center"/>
      </w:pPr>
      <w:r>
        <w:t>Corresponding Author: admin@azim.cc</w:t>
      </w:r>
    </w:p>
    <w:p w14:paraId="14D4D9B0" w14:textId="77777777" w:rsidR="00B27845" w:rsidRDefault="00000000">
      <w:pPr>
        <w:spacing w:before="360"/>
      </w:pPr>
      <w:r>
        <w:rPr>
          <w:b/>
          <w:sz w:val="26"/>
        </w:rPr>
        <w:t>Abstract</w:t>
      </w:r>
    </w:p>
    <w:p w14:paraId="44AFF513" w14:textId="77777777" w:rsidR="00B27845" w:rsidRDefault="00000000">
      <w:r>
        <w:rPr>
          <w:b/>
        </w:rPr>
        <w:t>Purpose:</w:t>
      </w:r>
      <w:r>
        <w:t xml:space="preserve"> This paper presents GX Coin Protocol, a complete monetary architecture designed through first-principles analysis of the structural defects in contemporary monetary systems. The protocol addresses the mathematical impossibility of interest-bearing money, inflationary wealth transfer, financial exclusion, and discretionary monetary policy through seven integrated design mechanisms: fixed supply, gold-referenced value anchoring, interest-free operations, grant-based distribution, velocity-based taxation, rules-based governance, and identity-verified participation. The paper evaluates the protocol against seven soundness criteria derived independently from classical monetary theory and demonstrates that these criteria are structurally identical to the ribawi characteristics identified in classical Islamic jurisprudence.</w:t>
      </w:r>
    </w:p>
    <w:p w14:paraId="2D59C653" w14:textId="77777777" w:rsidR="00B27845" w:rsidRDefault="00000000">
      <w:r>
        <w:rPr>
          <w:b/>
        </w:rPr>
        <w:t>Design/Methodology:</w:t>
      </w:r>
      <w:r>
        <w:t xml:space="preserve"> Adopting a Design Science Research (DSR) paradigm, the paper constructs the problem space from empirical monetary data, presents the designed artefact (GX Coin Protocol), and evaluates it against seven first-principles soundness criteria derived from Jevons, Menger, and Aristotle. The convergence between these criteria and classical Islamic economic principles constitutes the paper's central finding.</w:t>
      </w:r>
    </w:p>
    <w:p w14:paraId="681A319F" w14:textId="77777777" w:rsidR="00B27845" w:rsidRDefault="00000000">
      <w:r>
        <w:rPr>
          <w:b/>
        </w:rPr>
        <w:t>Findings:</w:t>
      </w:r>
      <w:r>
        <w:t xml:space="preserve"> The designed monetary architecture satisfies six of seven soundness criteria (86%), with universal acceptance as the sole partially met criterion reflecting the protocol's pre-launch status rather than any architectural deficiency. The seven soundness criteria map one-to-one onto the seven ribawi characteristics from the Hadith of Riba al-Fadl, despite the protocol having been designed without reference to any jurisprudential framework. This convergence suggests that Islamic economic principles articulate universal structural truths about sound money that first-principles analysis independently rediscovers.</w:t>
      </w:r>
    </w:p>
    <w:p w14:paraId="4FEE87F0" w14:textId="77777777" w:rsidR="00B27845" w:rsidRDefault="00000000">
      <w:r>
        <w:rPr>
          <w:b/>
        </w:rPr>
        <w:t>Originality:</w:t>
      </w:r>
      <w:r>
        <w:t xml:space="preserve"> This is the first paper to (a) present a complete monetary architecture designed from first principles that is evaluated against both secular monetary theory and Islamic economic objectives, (b) demonstrate structural convergence between independently derived soundness criteria and classical ribawi </w:t>
      </w:r>
      <w:r>
        <w:lastRenderedPageBreak/>
        <w:t>characteristics, and (c) reframe Islamic economics from a sectarian compliance framework to a set of universal architectural principles for monetary design.</w:t>
      </w:r>
    </w:p>
    <w:p w14:paraId="0CE1E09A" w14:textId="77777777" w:rsidR="00B27845" w:rsidRDefault="00000000">
      <w:r>
        <w:rPr>
          <w:b/>
        </w:rPr>
        <w:t>Practical Implications:</w:t>
      </w:r>
      <w:r>
        <w:t xml:space="preserve"> The convergence thesis offers Islamic economics a concrete architectural model that embodies its principles at the system level, moving beyond product-level compliance within structurally non-compliant monetary systems. For monetary design broadly, the paper demonstrates that ethical and structural soundness are not competing objectives but convergent outcomes of rigorous first-principles analysis.</w:t>
      </w:r>
    </w:p>
    <w:p w14:paraId="50722253" w14:textId="77777777" w:rsidR="00B27845" w:rsidRDefault="00000000">
      <w:r>
        <w:rPr>
          <w:b/>
        </w:rPr>
        <w:t>Keywords:</w:t>
      </w:r>
      <w:r>
        <w:t xml:space="preserve"> Islamic economics, monetary architecture, Design Science Research, sound money, ribawi characteristics, first-principles design, convergence</w:t>
      </w:r>
    </w:p>
    <w:p w14:paraId="459BB4B3" w14:textId="77777777" w:rsidR="00B27845" w:rsidRDefault="00000000">
      <w:pPr>
        <w:spacing w:before="360"/>
      </w:pPr>
      <w:r>
        <w:rPr>
          <w:b/>
          <w:sz w:val="26"/>
        </w:rPr>
        <w:t>1. Introduction</w:t>
      </w:r>
    </w:p>
    <w:p w14:paraId="01701C1C" w14:textId="77777777" w:rsidR="00B27845" w:rsidRDefault="00000000">
      <w:r>
        <w:t>The global monetary system is experiencing an architectural crisis, not a management crisis. A management crisis implies that better regulation or more sophisticated tools could correct the trajectory. An architectural crisis implies that the system is functioning exactly as designed, and that the design itself produces the outcomes observed.</w:t>
      </w:r>
    </w:p>
    <w:p w14:paraId="44F312EC" w14:textId="77777777" w:rsidR="00B27845" w:rsidRDefault="00000000">
      <w:r>
        <w:t>The empirical evidence supports the architectural interpretation. The US dollar has lost approximately 96% of its purchasing power since 1913 (Federal Reserve Bank of St. Louis, 2025). Global debt has reached approximately 350% of global GDP (Institute of International Finance, 2024). The Turkish Lira lost 80% of its value between 2018 and 2024. The Argentine Peso experienced inflation exceeding 200% annually in late 2023. The Lebanese Pound collapsed by over 90% between 2019 and 2023.</w:t>
      </w:r>
    </w:p>
    <w:p w14:paraId="3C29BCC8" w14:textId="77777777" w:rsidR="00B27845" w:rsidRDefault="00000000">
      <w:r>
        <w:t>These are not anomalies. They are the predictable outputs of a monetary architecture in which currency enters circulation as interest-bearing debt. If the total money supply is M and all of it is lent at interest, total debt becomes M + interest. That additional interest was never created. The deficit can only be resolved through expanding the money supply (inflation), issuing new debt (compounding the problem), or default. This is a mathematical certainty embedded in the architecture of interest-bearing money creation (McLeay et al., 2014).</w:t>
      </w:r>
    </w:p>
    <w:p w14:paraId="283C09D1" w14:textId="77777777" w:rsidR="00B27845" w:rsidRDefault="00000000">
      <w:r>
        <w:t xml:space="preserve">Islamic economics identified these structural problems centuries ago. Classical scholars articulated principles governing sound money, prohibiting interest-based lending, and requiring that monetary mediums possess specific characteristics that ensure stability and equity (Chapra, 2008). However, the contemporary literature on Islamic economics and finance has largely framed these principles as matters of religious compliance rather than as structural economic truths. The result is that the Islamic finance sector, which now exceeds USD 4 trillion in total assets (Islamic Financial Services Board [IFSB], 2024), </w:t>
      </w:r>
      <w:r>
        <w:lastRenderedPageBreak/>
        <w:t>operates within the very monetary architecture its principles diagnose as structurally flawed (Abdul Majeed, 2026a).</w:t>
      </w:r>
    </w:p>
    <w:p w14:paraId="22516381" w14:textId="77777777" w:rsidR="00B27845" w:rsidRDefault="00000000">
      <w:r>
        <w:t>This paper asks a specific research question: does a monetary architecture designed entirely from first-principles economic analysis, without reference to any jurisprudential framework, produce a system that converges with the objectives Islamic economics has articulated for centuries?</w:t>
      </w:r>
    </w:p>
    <w:p w14:paraId="276317C4" w14:textId="77777777" w:rsidR="00B27845" w:rsidRDefault="00000000">
      <w:r>
        <w:t>The paper adopts a Design Science Research (DSR) paradigm. The artefact is GX Coin Protocol, a complete monetary architecture comprising fixed supply, gold-referenced value, interest-free operations, grant-based distribution, velocity-based taxation, rules-based governance, and identity-verified participation. The protocol was designed through analysis of structural defects in contemporary monetary systems and evaluation of existing alternatives, not through application of any religious or jurisprudential criteria.</w:t>
      </w:r>
    </w:p>
    <w:p w14:paraId="1F93941F" w14:textId="77777777" w:rsidR="00B27845" w:rsidRDefault="00000000">
      <w:r>
        <w:t>This paper is distinct from a companion paper (Abdul Majeed, 2026b) that presents Mizan, a diagnostic tool for evaluating financial instruments against classical ribawi characteristics. Where the Mizan paper contributes a methodological artefact (a diagnostic framework), this paper contributes an architectural artefact (a monetary system) and a theoretical finding (convergence between first-principles design and Islamic economic objectives). The seven ribawi characteristics serve as diagnostic inputs in the Mizan paper; in this paper, they serve as an independent comparison standard against which a separately derived set of soundness criteria is evaluated.</w:t>
      </w:r>
    </w:p>
    <w:p w14:paraId="7BA61B89" w14:textId="77777777" w:rsidR="00B27845" w:rsidRDefault="00000000">
      <w:pPr>
        <w:spacing w:before="360"/>
      </w:pPr>
      <w:r>
        <w:rPr>
          <w:b/>
          <w:sz w:val="26"/>
        </w:rPr>
        <w:t>2. Literature Review</w:t>
      </w:r>
    </w:p>
    <w:p w14:paraId="2E7B5267" w14:textId="77777777" w:rsidR="00B27845" w:rsidRDefault="00000000">
      <w:pPr>
        <w:spacing w:before="240"/>
      </w:pPr>
      <w:r>
        <w:rPr>
          <w:b/>
          <w:sz w:val="24"/>
        </w:rPr>
        <w:t>2.1 First-Principles Critiques of Fiat Money</w:t>
      </w:r>
    </w:p>
    <w:p w14:paraId="4C15082B" w14:textId="77777777" w:rsidR="00B27845" w:rsidRDefault="00000000">
      <w:r>
        <w:t>The structural defects of fiat monetary systems have been identified across multiple intellectual traditions. Friedman (1962) proposed the k-percent rule, arguing that a fixed, predictable growth rate in money supply would outperform discretionary central bank management. His Negative Income Tax proposal demonstrated that universal redistribution could be achieved through a single automatic mechanism, eliminating bureaucratic overhead. Hayek (1976) went further, proposing the denationalisation of money entirely, arguing that competitive private currencies would discipline issuers more effectively than democratic accountability.</w:t>
      </w:r>
    </w:p>
    <w:p w14:paraId="5DE72FCA" w14:textId="77777777" w:rsidR="00B27845" w:rsidRDefault="00000000">
      <w:r>
        <w:t>Gesell (1916) introduced the concept of demurrage, a carrying cost on money designed to discourage hoarding and encourage circulation. While Gesell's proposals were never implemented at scale, the underlying insight, that idle money imposes costs on the broader economy, influenced Keynes (1936), who noted that Gesell's ideas deserved more attention than they received from the academic world.</w:t>
      </w:r>
    </w:p>
    <w:p w14:paraId="09212DE1" w14:textId="77777777" w:rsidR="00B27845" w:rsidRDefault="00000000">
      <w:r>
        <w:lastRenderedPageBreak/>
        <w:t>More recently, Keen (2011) demonstrated through agent-based modelling that private debt dynamics, rather than government fiscal policy, drive macroeconomic instability. McLeay et al. (2014), writing for the Bank of England, confirmed that commercial banks create money through lending, directly contradicting the textbook model of fractional reserve banking. Werner (2014) provided empirical confirmation through a controlled experiment with a German bank, establishing that individual banks create money when they extend credit.</w:t>
      </w:r>
    </w:p>
    <w:p w14:paraId="58E9CDE1" w14:textId="77777777" w:rsidR="00B27845" w:rsidRDefault="00000000">
      <w:r>
        <w:t>These critiques share a common thread: the structural mechanisms of money creation, interest, and supply management produce outcomes that are mathematically predictable and economically damaging, regardless of the competence or intentions of those managing the system.</w:t>
      </w:r>
    </w:p>
    <w:p w14:paraId="1C8C12F9" w14:textId="77777777" w:rsidR="00B27845" w:rsidRDefault="00000000">
      <w:pPr>
        <w:spacing w:before="240"/>
      </w:pPr>
      <w:r>
        <w:rPr>
          <w:b/>
          <w:sz w:val="24"/>
        </w:rPr>
        <w:t>2.2 Islamic Economic Principles as Design Criteria</w:t>
      </w:r>
    </w:p>
    <w:p w14:paraId="44C092F4" w14:textId="77777777" w:rsidR="00B27845" w:rsidRDefault="00000000">
      <w:r>
        <w:t>Islamic economics offers a distinct analytical framework that addresses monetary architecture at the system level. Chapra (2008) articulated the Maqasid al-Shariah (objectives of Islamic law) as design criteria for economic systems, with Hifz al-Mal (preservation of wealth) requiring that monetary systems do not systematically erode purchasing power. Iqbal and Mirakhor (2011) developed a comprehensive framework for Islamic economic systems grounded in risk-sharing rather than risk-transfer, arguing that interest-based lending creates a structural asymmetry where lenders extract returns regardless of economic outcomes while borrowers bear disproportionate risk.</w:t>
      </w:r>
    </w:p>
    <w:p w14:paraId="2AD272D5" w14:textId="77777777" w:rsidR="00B27845" w:rsidRDefault="00000000">
      <w:r>
        <w:t>Siddiqi (1983) provided the foundational analysis of Islamic banking without interest, demonstrating that profit-and-loss sharing mechanisms can serve the capital allocation function traditionally attributed to interest rates. Al-Ghazali (d. 1111) analysed the functions of money in Ihya' 'Ulum al-Din, establishing that money serves as a medium of exchange and measure of value, and that hoarding money subverts its essential economic purpose. Al-Shatibi (d. 1388) systematised the Maqasid framework that subsequent scholars have applied to economic analysis.</w:t>
      </w:r>
    </w:p>
    <w:p w14:paraId="668C2733" w14:textId="77777777" w:rsidR="00B27845" w:rsidRDefault="00000000">
      <w:r>
        <w:t>A persistent gap separates these principles from implementable monetary architecture. The Islamic finance industry has developed product-level solutions, structuring individual transactions to satisfy Shariah requirements, while operating within a monetary system whose foundational architecture, interest-bearing money creation, contradicts those very requirements (Abdul Majeed, 2026a). Chapra (2008) himself acknowledged that Islamic finance cannot fully realise its objectives within the existing monetary framework.</w:t>
      </w:r>
    </w:p>
    <w:p w14:paraId="4047A6B9" w14:textId="77777777" w:rsidR="008F6D5B" w:rsidRDefault="008F6D5B">
      <w:pPr>
        <w:spacing w:after="200" w:line="276" w:lineRule="auto"/>
        <w:rPr>
          <w:b/>
          <w:sz w:val="24"/>
        </w:rPr>
      </w:pPr>
      <w:r>
        <w:rPr>
          <w:b/>
          <w:sz w:val="24"/>
        </w:rPr>
        <w:br w:type="page"/>
      </w:r>
    </w:p>
    <w:p w14:paraId="29C8B6DB" w14:textId="31345903" w:rsidR="00B27845" w:rsidRDefault="00000000">
      <w:pPr>
        <w:spacing w:before="240"/>
      </w:pPr>
      <w:r>
        <w:rPr>
          <w:b/>
          <w:sz w:val="24"/>
        </w:rPr>
        <w:lastRenderedPageBreak/>
        <w:t>2.3 Digital Monetary Innovation</w:t>
      </w:r>
    </w:p>
    <w:p w14:paraId="141BB58B" w14:textId="77777777" w:rsidR="00B27845" w:rsidRDefault="00000000">
      <w:r>
        <w:t>The emergence of digital monetary systems has expanded the design space but has not yet produced a comprehensive alternative. Bitcoin (Nakamoto, 2008) demonstrated that a fixed-supply, decentralised monetary system is technically feasible and resistant to inflationary debasement. However, Bitcoin's design produces its own structural failures: extreme price volatility renders it impractical as a medium of exchange, an estimated 3 to 4 million coins are permanently lost due to the absence of identity-based recovery (Chainalysis, 2021), energy consumption exceeds 100 TWh annually (Cambridge Centre for Alternative Finance, 2025), and wealth concentration among early adopters and large holders exceeds that of most fiat economies.</w:t>
      </w:r>
    </w:p>
    <w:p w14:paraId="06106200" w14:textId="77777777" w:rsidR="00B27845" w:rsidRDefault="00000000">
      <w:r>
        <w:t>Stablecoins (USDT, USDC) addressed Bitcoin's volatility by pegging digital tokens to fiat currencies, but this solution inherits all of fiat's structural deficiencies: inflationary erosion, issuer risk, and regulatory vulnerability. They are, in structural terms, fiat derivatives in a digital container.</w:t>
      </w:r>
    </w:p>
    <w:p w14:paraId="3D8C5EEF" w14:textId="77777777" w:rsidR="00B27845" w:rsidRDefault="00000000">
      <w:r>
        <w:t>Central Bank Digital Currencies (CBDCs) represent the digitisation of existing fiat architecture. Over 130 countries are exploring or developing CBDCs (Atlantic Council, 2025), but these systems replicate the inflationary mechanisms, discretionary monetary policy, and, in many designs, surveillance capabilities of the fiat systems they digitise.</w:t>
      </w:r>
    </w:p>
    <w:p w14:paraId="4D22D4DC" w14:textId="77777777" w:rsidR="00B27845" w:rsidRDefault="00000000">
      <w:r>
        <w:t>The IMF's Special Drawing Rights (SDR) represent the closest existing analogue to a supranational monetary unit, but SDRs are restricted to intergovernmental settlement and are not usable in commercial transactions. Their allocation is determined by IMF quota, concentrating resources among wealthy nations.</w:t>
      </w:r>
    </w:p>
    <w:p w14:paraId="4C4CD430" w14:textId="77777777" w:rsidR="00B27845" w:rsidRDefault="00000000">
      <w:r>
        <w:t>An unoccupied design space therefore exists: a monetary architecture that combines fixed supply (addressing inflation), interest-free operations (addressing the mathematical impossibility of debt-based money), universal access (addressing exclusion), rules-based governance (addressing discretionary policy), and identity verification (addressing pseudonymity failures). This is the space GX Coin Protocol is designed to occupy.</w:t>
      </w:r>
    </w:p>
    <w:p w14:paraId="3A750E3A" w14:textId="77777777" w:rsidR="00B27845" w:rsidRDefault="00000000">
      <w:pPr>
        <w:spacing w:before="360"/>
      </w:pPr>
      <w:r>
        <w:rPr>
          <w:b/>
          <w:sz w:val="26"/>
        </w:rPr>
        <w:t>3. Methodology: Design Science Research</w:t>
      </w:r>
    </w:p>
    <w:p w14:paraId="37AFAA47" w14:textId="77777777" w:rsidR="00B27845" w:rsidRDefault="00000000">
      <w:pPr>
        <w:spacing w:before="240"/>
      </w:pPr>
      <w:r>
        <w:rPr>
          <w:b/>
          <w:sz w:val="24"/>
        </w:rPr>
        <w:t>3.1 Research Paradigm</w:t>
      </w:r>
    </w:p>
    <w:p w14:paraId="69242C26" w14:textId="77777777" w:rsidR="00B27845" w:rsidRDefault="00000000">
      <w:r>
        <w:t xml:space="preserve">This study employs Design Science Research (DSR), a paradigm that generates scholarly contributions through the purposeful construction and evaluation of artefacts addressing real-world problems (Hevner et al., 2004; Peffers et al., 2007). DSR is well-suited to this investigation because the objective is not to test </w:t>
      </w:r>
      <w:r>
        <w:lastRenderedPageBreak/>
        <w:t>a hypothesis against observational data but to present a designed monetary architecture and evaluate it against independently derived criteria. The artefact under examination, GX Coin Protocol, constitutes a complete monetary system specification. The evaluation criteria are grounded in classical monetary theory (Jevons, 1875; Menger, 1892). The principal scholarly contribution, the observed convergence between secular soundness criteria and classical Islamic economic principles, emerges from the evaluation process itself and extends beyond the specific protocol to inform monetary design theory more broadly.</w:t>
      </w:r>
    </w:p>
    <w:p w14:paraId="2BBE9D26" w14:textId="77777777" w:rsidR="00B27845" w:rsidRDefault="00000000">
      <w:pPr>
        <w:spacing w:before="240"/>
      </w:pPr>
      <w:r>
        <w:rPr>
          <w:b/>
          <w:sz w:val="24"/>
        </w:rPr>
        <w:t>3.2 DSR Process</w:t>
      </w:r>
    </w:p>
    <w:p w14:paraId="4A9F917F" w14:textId="77777777" w:rsidR="00B27845" w:rsidRDefault="00000000">
      <w:r>
        <w:t>The study follows the six-phase DSR process model (Peffers et al., 2007), mapped to the paper's structure as illustrated in Figure 1.</w:t>
      </w:r>
    </w:p>
    <w:p w14:paraId="669D950B" w14:textId="77777777" w:rsidR="00B27845" w:rsidRDefault="00000000">
      <w:pPr>
        <w:spacing w:before="240" w:after="0"/>
      </w:pPr>
      <w:r>
        <w:rPr>
          <w:b/>
        </w:rPr>
        <w:t>Figure 1</w:t>
      </w:r>
    </w:p>
    <w:p w14:paraId="466BB404" w14:textId="77777777" w:rsidR="00B27845" w:rsidRDefault="00000000">
      <w:r>
        <w:rPr>
          <w:i/>
        </w:rPr>
        <w:t>DSR Process Model Mapped to Paper Structure</w:t>
      </w:r>
    </w:p>
    <w:tbl>
      <w:tblPr>
        <w:tblStyle w:val="TableGrid"/>
        <w:tblW w:w="0" w:type="auto"/>
        <w:jc w:val="center"/>
        <w:tblLook w:val="04A0" w:firstRow="1" w:lastRow="0" w:firstColumn="1" w:lastColumn="0" w:noHBand="0" w:noVBand="1"/>
      </w:tblPr>
      <w:tblGrid>
        <w:gridCol w:w="3120"/>
        <w:gridCol w:w="3120"/>
        <w:gridCol w:w="3120"/>
      </w:tblGrid>
      <w:tr w:rsidR="00B27845" w14:paraId="228015E0" w14:textId="77777777">
        <w:trPr>
          <w:jc w:val="center"/>
        </w:trPr>
        <w:tc>
          <w:tcPr>
            <w:tcW w:w="3120" w:type="dxa"/>
          </w:tcPr>
          <w:p w14:paraId="2CE5E24F" w14:textId="77777777" w:rsidR="00B27845" w:rsidRDefault="00000000">
            <w:pPr>
              <w:spacing w:line="240" w:lineRule="auto"/>
            </w:pPr>
            <w:r>
              <w:rPr>
                <w:b/>
                <w:sz w:val="20"/>
              </w:rPr>
              <w:t>DSR Phase</w:t>
            </w:r>
          </w:p>
        </w:tc>
        <w:tc>
          <w:tcPr>
            <w:tcW w:w="3120" w:type="dxa"/>
          </w:tcPr>
          <w:p w14:paraId="0A27B6E9" w14:textId="77777777" w:rsidR="00B27845" w:rsidRDefault="00000000">
            <w:pPr>
              <w:spacing w:line="240" w:lineRule="auto"/>
            </w:pPr>
            <w:r>
              <w:rPr>
                <w:b/>
                <w:sz w:val="20"/>
              </w:rPr>
              <w:t>Paper Section</w:t>
            </w:r>
          </w:p>
        </w:tc>
        <w:tc>
          <w:tcPr>
            <w:tcW w:w="3120" w:type="dxa"/>
          </w:tcPr>
          <w:p w14:paraId="30A0C3B0" w14:textId="77777777" w:rsidR="00B27845" w:rsidRDefault="00000000">
            <w:pPr>
              <w:spacing w:line="240" w:lineRule="auto"/>
            </w:pPr>
            <w:r>
              <w:rPr>
                <w:b/>
                <w:sz w:val="20"/>
              </w:rPr>
              <w:t>Activity</w:t>
            </w:r>
          </w:p>
        </w:tc>
      </w:tr>
      <w:tr w:rsidR="00B27845" w14:paraId="38BB4741" w14:textId="77777777">
        <w:trPr>
          <w:jc w:val="center"/>
        </w:trPr>
        <w:tc>
          <w:tcPr>
            <w:tcW w:w="3120" w:type="dxa"/>
          </w:tcPr>
          <w:p w14:paraId="26D3EB2C" w14:textId="77777777" w:rsidR="00B27845" w:rsidRDefault="00000000">
            <w:pPr>
              <w:spacing w:line="240" w:lineRule="auto"/>
            </w:pPr>
            <w:r>
              <w:rPr>
                <w:sz w:val="20"/>
              </w:rPr>
              <w:t>1. Problem identification</w:t>
            </w:r>
          </w:p>
        </w:tc>
        <w:tc>
          <w:tcPr>
            <w:tcW w:w="3120" w:type="dxa"/>
          </w:tcPr>
          <w:p w14:paraId="2AF1C4B0" w14:textId="77777777" w:rsidR="00B27845" w:rsidRDefault="00000000">
            <w:pPr>
              <w:spacing w:line="240" w:lineRule="auto"/>
            </w:pPr>
            <w:r>
              <w:rPr>
                <w:sz w:val="20"/>
              </w:rPr>
              <w:t>Section 4</w:t>
            </w:r>
          </w:p>
        </w:tc>
        <w:tc>
          <w:tcPr>
            <w:tcW w:w="3120" w:type="dxa"/>
          </w:tcPr>
          <w:p w14:paraId="18135547" w14:textId="77777777" w:rsidR="00B27845" w:rsidRDefault="00000000">
            <w:pPr>
              <w:spacing w:line="240" w:lineRule="auto"/>
            </w:pPr>
            <w:r>
              <w:rPr>
                <w:sz w:val="20"/>
              </w:rPr>
              <w:t>Structural analysis of monetary system failures</w:t>
            </w:r>
          </w:p>
        </w:tc>
      </w:tr>
      <w:tr w:rsidR="00B27845" w14:paraId="159943D5" w14:textId="77777777">
        <w:trPr>
          <w:jc w:val="center"/>
        </w:trPr>
        <w:tc>
          <w:tcPr>
            <w:tcW w:w="3120" w:type="dxa"/>
          </w:tcPr>
          <w:p w14:paraId="03A966E1" w14:textId="77777777" w:rsidR="00B27845" w:rsidRDefault="00000000">
            <w:pPr>
              <w:spacing w:line="240" w:lineRule="auto"/>
            </w:pPr>
            <w:r>
              <w:rPr>
                <w:sz w:val="20"/>
              </w:rPr>
              <w:t>2. Objectives of a solution</w:t>
            </w:r>
          </w:p>
        </w:tc>
        <w:tc>
          <w:tcPr>
            <w:tcW w:w="3120" w:type="dxa"/>
          </w:tcPr>
          <w:p w14:paraId="14DC662F" w14:textId="77777777" w:rsidR="00B27845" w:rsidRDefault="00000000">
            <w:pPr>
              <w:spacing w:line="240" w:lineRule="auto"/>
            </w:pPr>
            <w:r>
              <w:rPr>
                <w:sz w:val="20"/>
              </w:rPr>
              <w:t>Section 4</w:t>
            </w:r>
          </w:p>
        </w:tc>
        <w:tc>
          <w:tcPr>
            <w:tcW w:w="3120" w:type="dxa"/>
          </w:tcPr>
          <w:p w14:paraId="6648E580" w14:textId="77777777" w:rsidR="00B27845" w:rsidRDefault="00000000">
            <w:pPr>
              <w:spacing w:line="240" w:lineRule="auto"/>
            </w:pPr>
            <w:r>
              <w:rPr>
                <w:sz w:val="20"/>
              </w:rPr>
              <w:t>Derivation of design requirements from identified problems</w:t>
            </w:r>
          </w:p>
        </w:tc>
      </w:tr>
      <w:tr w:rsidR="00B27845" w14:paraId="06D3E763" w14:textId="77777777">
        <w:trPr>
          <w:jc w:val="center"/>
        </w:trPr>
        <w:tc>
          <w:tcPr>
            <w:tcW w:w="3120" w:type="dxa"/>
          </w:tcPr>
          <w:p w14:paraId="33CBFE2C" w14:textId="77777777" w:rsidR="00B27845" w:rsidRDefault="00000000">
            <w:pPr>
              <w:spacing w:line="240" w:lineRule="auto"/>
            </w:pPr>
            <w:r>
              <w:rPr>
                <w:sz w:val="20"/>
              </w:rPr>
              <w:t>3. Design and development</w:t>
            </w:r>
          </w:p>
        </w:tc>
        <w:tc>
          <w:tcPr>
            <w:tcW w:w="3120" w:type="dxa"/>
          </w:tcPr>
          <w:p w14:paraId="33E2B5E0" w14:textId="77777777" w:rsidR="00B27845" w:rsidRDefault="00000000">
            <w:pPr>
              <w:spacing w:line="240" w:lineRule="auto"/>
            </w:pPr>
            <w:r>
              <w:rPr>
                <w:sz w:val="20"/>
              </w:rPr>
              <w:t>Section 5</w:t>
            </w:r>
          </w:p>
        </w:tc>
        <w:tc>
          <w:tcPr>
            <w:tcW w:w="3120" w:type="dxa"/>
          </w:tcPr>
          <w:p w14:paraId="1B682EB0" w14:textId="77777777" w:rsidR="00B27845" w:rsidRDefault="00000000">
            <w:pPr>
              <w:spacing w:line="240" w:lineRule="auto"/>
            </w:pPr>
            <w:r>
              <w:rPr>
                <w:sz w:val="20"/>
              </w:rPr>
              <w:t>Presentation of GX Coin Protocol architecture</w:t>
            </w:r>
          </w:p>
        </w:tc>
      </w:tr>
      <w:tr w:rsidR="00B27845" w14:paraId="16D5E7D7" w14:textId="77777777">
        <w:trPr>
          <w:jc w:val="center"/>
        </w:trPr>
        <w:tc>
          <w:tcPr>
            <w:tcW w:w="3120" w:type="dxa"/>
          </w:tcPr>
          <w:p w14:paraId="0A608574" w14:textId="77777777" w:rsidR="00B27845" w:rsidRDefault="00000000">
            <w:pPr>
              <w:spacing w:line="240" w:lineRule="auto"/>
            </w:pPr>
            <w:r>
              <w:rPr>
                <w:sz w:val="20"/>
              </w:rPr>
              <w:t>4. Demonstration</w:t>
            </w:r>
          </w:p>
        </w:tc>
        <w:tc>
          <w:tcPr>
            <w:tcW w:w="3120" w:type="dxa"/>
          </w:tcPr>
          <w:p w14:paraId="33EC675E" w14:textId="77777777" w:rsidR="00B27845" w:rsidRDefault="00000000">
            <w:pPr>
              <w:spacing w:line="240" w:lineRule="auto"/>
            </w:pPr>
            <w:r>
              <w:rPr>
                <w:sz w:val="20"/>
              </w:rPr>
              <w:t>Section 5</w:t>
            </w:r>
          </w:p>
        </w:tc>
        <w:tc>
          <w:tcPr>
            <w:tcW w:w="3120" w:type="dxa"/>
          </w:tcPr>
          <w:p w14:paraId="0F464BC8" w14:textId="77777777" w:rsidR="00B27845" w:rsidRDefault="00000000">
            <w:pPr>
              <w:spacing w:line="240" w:lineRule="auto"/>
            </w:pPr>
            <w:r>
              <w:rPr>
                <w:sz w:val="20"/>
              </w:rPr>
              <w:t>Specification of protocol mechanisms addressing each problem</w:t>
            </w:r>
          </w:p>
        </w:tc>
      </w:tr>
      <w:tr w:rsidR="00B27845" w14:paraId="582EEF38" w14:textId="77777777">
        <w:trPr>
          <w:jc w:val="center"/>
        </w:trPr>
        <w:tc>
          <w:tcPr>
            <w:tcW w:w="3120" w:type="dxa"/>
          </w:tcPr>
          <w:p w14:paraId="272BCEB7" w14:textId="77777777" w:rsidR="00B27845" w:rsidRDefault="00000000">
            <w:pPr>
              <w:spacing w:line="240" w:lineRule="auto"/>
            </w:pPr>
            <w:r>
              <w:rPr>
                <w:sz w:val="20"/>
              </w:rPr>
              <w:t>5. Evaluation</w:t>
            </w:r>
          </w:p>
        </w:tc>
        <w:tc>
          <w:tcPr>
            <w:tcW w:w="3120" w:type="dxa"/>
          </w:tcPr>
          <w:p w14:paraId="56A61161" w14:textId="77777777" w:rsidR="00B27845" w:rsidRDefault="00000000">
            <w:pPr>
              <w:spacing w:line="240" w:lineRule="auto"/>
            </w:pPr>
            <w:r>
              <w:rPr>
                <w:sz w:val="20"/>
              </w:rPr>
              <w:t>Section 6</w:t>
            </w:r>
          </w:p>
        </w:tc>
        <w:tc>
          <w:tcPr>
            <w:tcW w:w="3120" w:type="dxa"/>
          </w:tcPr>
          <w:p w14:paraId="3BF59A58" w14:textId="77777777" w:rsidR="00B27845" w:rsidRDefault="00000000">
            <w:pPr>
              <w:spacing w:line="240" w:lineRule="auto"/>
            </w:pPr>
            <w:r>
              <w:rPr>
                <w:sz w:val="20"/>
              </w:rPr>
              <w:t>Assessment against seven first-principles soundness criteria</w:t>
            </w:r>
          </w:p>
        </w:tc>
      </w:tr>
      <w:tr w:rsidR="00B27845" w14:paraId="75D2D5B3" w14:textId="77777777">
        <w:trPr>
          <w:jc w:val="center"/>
        </w:trPr>
        <w:tc>
          <w:tcPr>
            <w:tcW w:w="3120" w:type="dxa"/>
          </w:tcPr>
          <w:p w14:paraId="1B9C1B9A" w14:textId="77777777" w:rsidR="00B27845" w:rsidRDefault="00000000">
            <w:pPr>
              <w:spacing w:line="240" w:lineRule="auto"/>
            </w:pPr>
            <w:r>
              <w:rPr>
                <w:sz w:val="20"/>
              </w:rPr>
              <w:t>6. Communication</w:t>
            </w:r>
          </w:p>
        </w:tc>
        <w:tc>
          <w:tcPr>
            <w:tcW w:w="3120" w:type="dxa"/>
          </w:tcPr>
          <w:p w14:paraId="4EDB97C5" w14:textId="77777777" w:rsidR="00B27845" w:rsidRDefault="00000000">
            <w:pPr>
              <w:spacing w:line="240" w:lineRule="auto"/>
            </w:pPr>
            <w:r>
              <w:rPr>
                <w:sz w:val="20"/>
              </w:rPr>
              <w:t>Sections 7-8</w:t>
            </w:r>
          </w:p>
        </w:tc>
        <w:tc>
          <w:tcPr>
            <w:tcW w:w="3120" w:type="dxa"/>
          </w:tcPr>
          <w:p w14:paraId="595A3C94" w14:textId="77777777" w:rsidR="00B27845" w:rsidRDefault="00000000">
            <w:pPr>
              <w:spacing w:line="240" w:lineRule="auto"/>
            </w:pPr>
            <w:r>
              <w:rPr>
                <w:sz w:val="20"/>
              </w:rPr>
              <w:t>Discussion of convergence thesis and implications</w:t>
            </w:r>
          </w:p>
        </w:tc>
      </w:tr>
    </w:tbl>
    <w:p w14:paraId="345D2F5C" w14:textId="77777777" w:rsidR="00B27845" w:rsidRDefault="00B27845"/>
    <w:p w14:paraId="75EEB5A9" w14:textId="77777777" w:rsidR="00B27845" w:rsidRDefault="00000000">
      <w:pPr>
        <w:spacing w:before="240"/>
      </w:pPr>
      <w:r>
        <w:rPr>
          <w:b/>
          <w:sz w:val="24"/>
        </w:rPr>
        <w:t>3.3 Soundness Criteria</w:t>
      </w:r>
    </w:p>
    <w:p w14:paraId="61BBFB0B" w14:textId="77777777" w:rsidR="00B27845" w:rsidRDefault="00000000">
      <w:r>
        <w:t>The designed artefact is evaluated against seven criteria for sound money derived from first-principles monetary theory. These criteria synthesise the work of Jevons (1875), who identified the essential properties of money; Menger (1892), who analysed the origin and nature of monetary media; and Aristotle (Politics, Book I), who distinguished natural exchange from unnatural accumulation.</w:t>
      </w:r>
    </w:p>
    <w:p w14:paraId="039ACF82" w14:textId="77777777" w:rsidR="00B27845" w:rsidRDefault="00000000">
      <w:r>
        <w:t xml:space="preserve">The seven criteria are: fungibility (units are interchangeable without quality variation over time), intrinsic value (value exists independent of legal designation), durability of value (purchasing power persists </w:t>
      </w:r>
      <w:r>
        <w:lastRenderedPageBreak/>
        <w:t>without systematic erosion), universal acceptance (adoption through demonstrated utility, not coercion), knowable quality (value determinable at the point of exchange), measurability (precisely quantifiable in standardised units), and essential utility (serves a fundamental economic need beyond the monetary system itself).</w:t>
      </w:r>
    </w:p>
    <w:p w14:paraId="65176107" w14:textId="77777777" w:rsidR="00B27845" w:rsidRDefault="00000000">
      <w:r>
        <w:t>These criteria were derived from analysis of what the historically successful monetary media, gold, silver, and commodity monies, have in common that made them function effectively as money. They were not derived from, nor designed to correspond to, any jurisprudential framework. The protocol was designed to satisfy these criteria. The convergence with classical Islamic economic principles is a finding of this research, not a design input.</w:t>
      </w:r>
    </w:p>
    <w:p w14:paraId="4CF2293A" w14:textId="77777777" w:rsidR="00B27845" w:rsidRDefault="00000000">
      <w:pPr>
        <w:spacing w:before="240"/>
      </w:pPr>
      <w:r>
        <w:rPr>
          <w:b/>
          <w:sz w:val="24"/>
        </w:rPr>
        <w:t>3.4 Explicit Methodological Statement</w:t>
      </w:r>
    </w:p>
    <w:p w14:paraId="01246E31" w14:textId="77777777" w:rsidR="00B27845" w:rsidRDefault="00000000">
      <w:r>
        <w:t>GX Coin Protocol was designed through first-principles analysis of the structural defects in contemporary monetary systems. The design process drew on monetary economics (Friedman, Hayek, Gesell), institutional economics (the rules-versus-discretion literature), and empirical analysis of existing digital monetary systems (Bitcoin, stablecoins, CBDCs). At no point in the design process were Islamic jurisprudential criteria consulted or applied. The convergence between the protocol's architecture and Islamic economic objectives was observed after the design was complete, not during it.</w:t>
      </w:r>
    </w:p>
    <w:p w14:paraId="6DA3F24A" w14:textId="77777777" w:rsidR="00B27845" w:rsidRDefault="00000000">
      <w:pPr>
        <w:spacing w:before="360"/>
      </w:pPr>
      <w:r>
        <w:rPr>
          <w:b/>
          <w:sz w:val="26"/>
        </w:rPr>
        <w:t>4. The Problem Space</w:t>
      </w:r>
    </w:p>
    <w:p w14:paraId="4592EC55" w14:textId="77777777" w:rsidR="00B27845" w:rsidRDefault="00000000">
      <w:pPr>
        <w:spacing w:before="240"/>
      </w:pPr>
      <w:r>
        <w:rPr>
          <w:b/>
          <w:sz w:val="24"/>
        </w:rPr>
        <w:t>4.1 The Mathematical Impossibility of Interest-Bearing Money</w:t>
      </w:r>
    </w:p>
    <w:p w14:paraId="30814A07" w14:textId="77777777" w:rsidR="00B27845" w:rsidRDefault="00000000">
      <w:r>
        <w:t>The foundational structural defect of contemporary monetary systems is arithmetic. When commercial banks create money through lending (McLeay et al., 2014; Werner, 2014), every unit of currency enters circulation as a loan with interest attached. If the total money supply is M and all lending carries interest at rate r, total debt is M(1 + r). The quantity M(1 + r) exceeds M by definition. The interest component, Mr, was never created.</w:t>
      </w:r>
    </w:p>
    <w:p w14:paraId="6B01BD84" w14:textId="77777777" w:rsidR="00B27845" w:rsidRDefault="00000000">
      <w:r>
        <w:t>The US Federal Reserve's M2 money supply grew from approximately USD 4.6 trillion in 2000 to approximately USD 21.7 trillion by 2025, a 370% increase in 25 years (Federal Reserve Bank of St. Louis, 2025). This expansion is not incidental to the system; it is required by it. Without continuous money supply expansion, the mathematical gap between total debt and total money becomes unsustainable, producing either mass default or deflationary collapse.</w:t>
      </w:r>
    </w:p>
    <w:p w14:paraId="38CBDFBF" w14:textId="77777777" w:rsidR="008F6D5B" w:rsidRDefault="008F6D5B">
      <w:pPr>
        <w:spacing w:after="200" w:line="276" w:lineRule="auto"/>
        <w:rPr>
          <w:b/>
          <w:sz w:val="24"/>
        </w:rPr>
      </w:pPr>
      <w:r>
        <w:rPr>
          <w:b/>
          <w:sz w:val="24"/>
        </w:rPr>
        <w:br w:type="page"/>
      </w:r>
    </w:p>
    <w:p w14:paraId="3CD05C07" w14:textId="17D3F0DC" w:rsidR="00B27845" w:rsidRDefault="00000000">
      <w:pPr>
        <w:spacing w:before="240"/>
      </w:pPr>
      <w:r>
        <w:rPr>
          <w:b/>
          <w:sz w:val="24"/>
        </w:rPr>
        <w:lastRenderedPageBreak/>
        <w:t>4.2 Inflation as Regressive Wealth Transfer</w:t>
      </w:r>
    </w:p>
    <w:p w14:paraId="206741C0" w14:textId="77777777" w:rsidR="00B27845" w:rsidRDefault="00000000">
      <w:r>
        <w:t>The expansion of money supply necessary to sustain interest-bearing debt manifests as inflation, which functions as a regressive wealth transfer. Those who hold financial assets see their nominal wealth rise with inflation; those who hold cash savings or earn fixed wages see their purchasing power erode. The Nigerian Naira lost approximately 70% of its value between 2020 and 2025. The Egyptian Pound was devalued by over 50% in 2023 alone. Each of these episodes transferred wealth from ordinary citizens to asset holders, from savers to debtors, from the future to the present. This is the mechanism through which the mathematical impossibility of interest-bearing money is temporarily deferred.</w:t>
      </w:r>
    </w:p>
    <w:p w14:paraId="345227FC" w14:textId="77777777" w:rsidR="00B27845" w:rsidRDefault="00000000">
      <w:pPr>
        <w:spacing w:before="240"/>
      </w:pPr>
      <w:r>
        <w:rPr>
          <w:b/>
          <w:sz w:val="24"/>
        </w:rPr>
        <w:t>4.3 Exclusion and Extraction</w:t>
      </w:r>
    </w:p>
    <w:p w14:paraId="4ED4C217" w14:textId="77777777" w:rsidR="00B27845" w:rsidRDefault="00000000">
      <w:r>
        <w:t>The World Bank's Global Findex Database (2021) estimated that approximately 1.4 billion adults worldwide lack access to a basic bank account. An additional 1 to 2 billion have accounts but lack access to credit, insurance, or digital payment infrastructure.</w:t>
      </w:r>
    </w:p>
    <w:p w14:paraId="5326DA80" w14:textId="77777777" w:rsidR="00B27845" w:rsidRDefault="00000000">
      <w:r>
        <w:t>Global remittances totalled approximately USD 860 billion in 2024 (World Bank, 2024). The average cost of sending USD 200 across borders was approximately 6.2% globally, with Sub-Saharan African corridors exceeding 8%. This means approximately USD 48 to 53 billion annually is extracted from some of the world's poorest populations in intermediary fees. Microfinance institutions, originally conceived as tools for poverty alleviation, have been documented charging effective annual interest rates of 30 to 100% in parts of South Asia and Sub-Saharan Africa.</w:t>
      </w:r>
    </w:p>
    <w:p w14:paraId="14993ACB" w14:textId="77777777" w:rsidR="00B27845" w:rsidRDefault="00000000">
      <w:pPr>
        <w:spacing w:before="240"/>
      </w:pPr>
      <w:r>
        <w:rPr>
          <w:b/>
          <w:sz w:val="24"/>
        </w:rPr>
        <w:t>4.4 Failure of Existing Alternatives</w:t>
      </w:r>
    </w:p>
    <w:p w14:paraId="55712C80" w14:textId="77777777" w:rsidR="00B27845" w:rsidRDefault="00000000">
      <w:r>
        <w:t>No existing digital monetary system addresses the full problem space.</w:t>
      </w:r>
    </w:p>
    <w:p w14:paraId="71C51186" w14:textId="77777777" w:rsidR="00B27845" w:rsidRDefault="00000000">
      <w:pPr>
        <w:spacing w:before="240" w:after="0"/>
      </w:pPr>
      <w:r>
        <w:rPr>
          <w:b/>
        </w:rPr>
        <w:t>Table 1</w:t>
      </w:r>
    </w:p>
    <w:p w14:paraId="303E3884" w14:textId="77777777" w:rsidR="00B27845" w:rsidRDefault="00000000">
      <w:r>
        <w:rPr>
          <w:i/>
        </w:rPr>
        <w:t>Structural Comparison: Fiat Currency, Bitcoin, Stablecoins, CBDCs, and SDR</w:t>
      </w:r>
    </w:p>
    <w:tbl>
      <w:tblPr>
        <w:tblStyle w:val="TableGrid"/>
        <w:tblW w:w="0" w:type="auto"/>
        <w:jc w:val="center"/>
        <w:tblLook w:val="04A0" w:firstRow="1" w:lastRow="0" w:firstColumn="1" w:lastColumn="0" w:noHBand="0" w:noVBand="1"/>
      </w:tblPr>
      <w:tblGrid>
        <w:gridCol w:w="1594"/>
        <w:gridCol w:w="1560"/>
        <w:gridCol w:w="1560"/>
        <w:gridCol w:w="1560"/>
        <w:gridCol w:w="1560"/>
        <w:gridCol w:w="1560"/>
      </w:tblGrid>
      <w:tr w:rsidR="00B27845" w14:paraId="77E263DD" w14:textId="77777777">
        <w:trPr>
          <w:jc w:val="center"/>
        </w:trPr>
        <w:tc>
          <w:tcPr>
            <w:tcW w:w="1560" w:type="dxa"/>
          </w:tcPr>
          <w:p w14:paraId="5E0AFD16" w14:textId="77777777" w:rsidR="00B27845" w:rsidRDefault="00000000">
            <w:pPr>
              <w:spacing w:line="240" w:lineRule="auto"/>
            </w:pPr>
            <w:r>
              <w:rPr>
                <w:b/>
                <w:sz w:val="20"/>
              </w:rPr>
              <w:t>Criterion</w:t>
            </w:r>
          </w:p>
        </w:tc>
        <w:tc>
          <w:tcPr>
            <w:tcW w:w="1560" w:type="dxa"/>
          </w:tcPr>
          <w:p w14:paraId="669C2CBA" w14:textId="77777777" w:rsidR="00B27845" w:rsidRDefault="00000000">
            <w:pPr>
              <w:spacing w:line="240" w:lineRule="auto"/>
            </w:pPr>
            <w:r>
              <w:rPr>
                <w:b/>
                <w:sz w:val="20"/>
              </w:rPr>
              <w:t>Fiat Currency</w:t>
            </w:r>
          </w:p>
        </w:tc>
        <w:tc>
          <w:tcPr>
            <w:tcW w:w="1560" w:type="dxa"/>
          </w:tcPr>
          <w:p w14:paraId="106CBF74" w14:textId="77777777" w:rsidR="00B27845" w:rsidRDefault="00000000">
            <w:pPr>
              <w:spacing w:line="240" w:lineRule="auto"/>
            </w:pPr>
            <w:r>
              <w:rPr>
                <w:b/>
                <w:sz w:val="20"/>
              </w:rPr>
              <w:t>Bitcoin</w:t>
            </w:r>
          </w:p>
        </w:tc>
        <w:tc>
          <w:tcPr>
            <w:tcW w:w="1560" w:type="dxa"/>
          </w:tcPr>
          <w:p w14:paraId="36F97D7D" w14:textId="77777777" w:rsidR="00B27845" w:rsidRDefault="00000000">
            <w:pPr>
              <w:spacing w:line="240" w:lineRule="auto"/>
            </w:pPr>
            <w:r>
              <w:rPr>
                <w:b/>
                <w:sz w:val="20"/>
              </w:rPr>
              <w:t>Stablecoins</w:t>
            </w:r>
          </w:p>
        </w:tc>
        <w:tc>
          <w:tcPr>
            <w:tcW w:w="1560" w:type="dxa"/>
          </w:tcPr>
          <w:p w14:paraId="1C4FEEAB" w14:textId="77777777" w:rsidR="00B27845" w:rsidRDefault="00000000">
            <w:pPr>
              <w:spacing w:line="240" w:lineRule="auto"/>
            </w:pPr>
            <w:r>
              <w:rPr>
                <w:b/>
                <w:sz w:val="20"/>
              </w:rPr>
              <w:t>CBDCs</w:t>
            </w:r>
          </w:p>
        </w:tc>
        <w:tc>
          <w:tcPr>
            <w:tcW w:w="1560" w:type="dxa"/>
          </w:tcPr>
          <w:p w14:paraId="4183C9D2" w14:textId="77777777" w:rsidR="00B27845" w:rsidRDefault="00000000">
            <w:pPr>
              <w:spacing w:line="240" w:lineRule="auto"/>
            </w:pPr>
            <w:r>
              <w:rPr>
                <w:b/>
                <w:sz w:val="20"/>
              </w:rPr>
              <w:t>SDR</w:t>
            </w:r>
          </w:p>
        </w:tc>
      </w:tr>
      <w:tr w:rsidR="00B27845" w14:paraId="40E5F772" w14:textId="77777777">
        <w:trPr>
          <w:jc w:val="center"/>
        </w:trPr>
        <w:tc>
          <w:tcPr>
            <w:tcW w:w="1560" w:type="dxa"/>
          </w:tcPr>
          <w:p w14:paraId="431E08AD" w14:textId="77777777" w:rsidR="00B27845" w:rsidRDefault="00000000">
            <w:pPr>
              <w:spacing w:line="240" w:lineRule="auto"/>
            </w:pPr>
            <w:r>
              <w:rPr>
                <w:sz w:val="20"/>
              </w:rPr>
              <w:t>Supply control</w:t>
            </w:r>
          </w:p>
        </w:tc>
        <w:tc>
          <w:tcPr>
            <w:tcW w:w="1560" w:type="dxa"/>
          </w:tcPr>
          <w:p w14:paraId="723FA432" w14:textId="77777777" w:rsidR="00B27845" w:rsidRDefault="00000000">
            <w:pPr>
              <w:spacing w:line="240" w:lineRule="auto"/>
            </w:pPr>
            <w:r>
              <w:rPr>
                <w:sz w:val="20"/>
              </w:rPr>
              <w:t>Central bank (unlimited)</w:t>
            </w:r>
          </w:p>
        </w:tc>
        <w:tc>
          <w:tcPr>
            <w:tcW w:w="1560" w:type="dxa"/>
          </w:tcPr>
          <w:p w14:paraId="0E8AF9B8" w14:textId="77777777" w:rsidR="00B27845" w:rsidRDefault="00000000">
            <w:pPr>
              <w:spacing w:line="240" w:lineRule="auto"/>
            </w:pPr>
            <w:r>
              <w:rPr>
                <w:sz w:val="20"/>
              </w:rPr>
              <w:t>Fixed (21M)</w:t>
            </w:r>
          </w:p>
        </w:tc>
        <w:tc>
          <w:tcPr>
            <w:tcW w:w="1560" w:type="dxa"/>
          </w:tcPr>
          <w:p w14:paraId="049ABC86" w14:textId="77777777" w:rsidR="00B27845" w:rsidRDefault="00000000">
            <w:pPr>
              <w:spacing w:line="240" w:lineRule="auto"/>
            </w:pPr>
            <w:r>
              <w:rPr>
                <w:sz w:val="20"/>
              </w:rPr>
              <w:t>Issuer-controlled</w:t>
            </w:r>
          </w:p>
        </w:tc>
        <w:tc>
          <w:tcPr>
            <w:tcW w:w="1560" w:type="dxa"/>
          </w:tcPr>
          <w:p w14:paraId="3F3F0864" w14:textId="77777777" w:rsidR="00B27845" w:rsidRDefault="00000000">
            <w:pPr>
              <w:spacing w:line="240" w:lineRule="auto"/>
            </w:pPr>
            <w:r>
              <w:rPr>
                <w:sz w:val="20"/>
              </w:rPr>
              <w:t>Central bank</w:t>
            </w:r>
          </w:p>
        </w:tc>
        <w:tc>
          <w:tcPr>
            <w:tcW w:w="1560" w:type="dxa"/>
          </w:tcPr>
          <w:p w14:paraId="7031C881" w14:textId="77777777" w:rsidR="00B27845" w:rsidRDefault="00000000">
            <w:pPr>
              <w:spacing w:line="240" w:lineRule="auto"/>
            </w:pPr>
            <w:r>
              <w:rPr>
                <w:sz w:val="20"/>
              </w:rPr>
              <w:t>IMF allocation</w:t>
            </w:r>
          </w:p>
        </w:tc>
      </w:tr>
      <w:tr w:rsidR="00B27845" w14:paraId="6D1AD5D8" w14:textId="77777777">
        <w:trPr>
          <w:jc w:val="center"/>
        </w:trPr>
        <w:tc>
          <w:tcPr>
            <w:tcW w:w="1560" w:type="dxa"/>
          </w:tcPr>
          <w:p w14:paraId="5152B08C" w14:textId="77777777" w:rsidR="00B27845" w:rsidRDefault="00000000">
            <w:pPr>
              <w:spacing w:line="240" w:lineRule="auto"/>
            </w:pPr>
            <w:r>
              <w:rPr>
                <w:sz w:val="20"/>
              </w:rPr>
              <w:t>Inflation protection</w:t>
            </w:r>
          </w:p>
        </w:tc>
        <w:tc>
          <w:tcPr>
            <w:tcW w:w="1560" w:type="dxa"/>
          </w:tcPr>
          <w:p w14:paraId="6C4BC66B" w14:textId="77777777" w:rsidR="00B27845" w:rsidRDefault="00000000">
            <w:pPr>
              <w:spacing w:line="240" w:lineRule="auto"/>
            </w:pPr>
            <w:r>
              <w:rPr>
                <w:sz w:val="20"/>
              </w:rPr>
              <w:t>None (by design)</w:t>
            </w:r>
          </w:p>
        </w:tc>
        <w:tc>
          <w:tcPr>
            <w:tcW w:w="1560" w:type="dxa"/>
          </w:tcPr>
          <w:p w14:paraId="3207F5BA" w14:textId="77777777" w:rsidR="00B27845" w:rsidRDefault="00000000">
            <w:pPr>
              <w:spacing w:line="240" w:lineRule="auto"/>
            </w:pPr>
            <w:r>
              <w:rPr>
                <w:sz w:val="20"/>
              </w:rPr>
              <w:t>Yes (deflationary)</w:t>
            </w:r>
          </w:p>
        </w:tc>
        <w:tc>
          <w:tcPr>
            <w:tcW w:w="1560" w:type="dxa"/>
          </w:tcPr>
          <w:p w14:paraId="766AA7F9" w14:textId="77777777" w:rsidR="00B27845" w:rsidRDefault="00000000">
            <w:pPr>
              <w:spacing w:line="240" w:lineRule="auto"/>
            </w:pPr>
            <w:r>
              <w:rPr>
                <w:sz w:val="20"/>
              </w:rPr>
              <w:t>None (tracks fiat)</w:t>
            </w:r>
          </w:p>
        </w:tc>
        <w:tc>
          <w:tcPr>
            <w:tcW w:w="1560" w:type="dxa"/>
          </w:tcPr>
          <w:p w14:paraId="74BAFFA1" w14:textId="77777777" w:rsidR="00B27845" w:rsidRDefault="00000000">
            <w:pPr>
              <w:spacing w:line="240" w:lineRule="auto"/>
            </w:pPr>
            <w:r>
              <w:rPr>
                <w:sz w:val="20"/>
              </w:rPr>
              <w:t>None (tracks fiat)</w:t>
            </w:r>
          </w:p>
        </w:tc>
        <w:tc>
          <w:tcPr>
            <w:tcW w:w="1560" w:type="dxa"/>
          </w:tcPr>
          <w:p w14:paraId="44EDAD36" w14:textId="77777777" w:rsidR="00B27845" w:rsidRDefault="00000000">
            <w:pPr>
              <w:spacing w:line="240" w:lineRule="auto"/>
            </w:pPr>
            <w:r>
              <w:rPr>
                <w:sz w:val="20"/>
              </w:rPr>
              <w:t>Partial (basket)</w:t>
            </w:r>
          </w:p>
        </w:tc>
      </w:tr>
      <w:tr w:rsidR="00B27845" w14:paraId="2B381621" w14:textId="77777777">
        <w:trPr>
          <w:jc w:val="center"/>
        </w:trPr>
        <w:tc>
          <w:tcPr>
            <w:tcW w:w="1560" w:type="dxa"/>
          </w:tcPr>
          <w:p w14:paraId="398AA885" w14:textId="77777777" w:rsidR="00B27845" w:rsidRDefault="00000000">
            <w:pPr>
              <w:spacing w:line="240" w:lineRule="auto"/>
            </w:pPr>
            <w:r>
              <w:rPr>
                <w:sz w:val="20"/>
              </w:rPr>
              <w:t>Interest-free lending</w:t>
            </w:r>
          </w:p>
        </w:tc>
        <w:tc>
          <w:tcPr>
            <w:tcW w:w="1560" w:type="dxa"/>
          </w:tcPr>
          <w:p w14:paraId="176FC345" w14:textId="77777777" w:rsidR="00B27845" w:rsidRDefault="00000000">
            <w:pPr>
              <w:spacing w:line="240" w:lineRule="auto"/>
            </w:pPr>
            <w:r>
              <w:rPr>
                <w:sz w:val="20"/>
              </w:rPr>
              <w:t>Not available</w:t>
            </w:r>
          </w:p>
        </w:tc>
        <w:tc>
          <w:tcPr>
            <w:tcW w:w="1560" w:type="dxa"/>
          </w:tcPr>
          <w:p w14:paraId="35A2F673" w14:textId="77777777" w:rsidR="00B27845" w:rsidRDefault="00000000">
            <w:pPr>
              <w:spacing w:line="240" w:lineRule="auto"/>
            </w:pPr>
            <w:r>
              <w:rPr>
                <w:sz w:val="20"/>
              </w:rPr>
              <w:t>Not available</w:t>
            </w:r>
          </w:p>
        </w:tc>
        <w:tc>
          <w:tcPr>
            <w:tcW w:w="1560" w:type="dxa"/>
          </w:tcPr>
          <w:p w14:paraId="47D55F16" w14:textId="77777777" w:rsidR="00B27845" w:rsidRDefault="00000000">
            <w:pPr>
              <w:spacing w:line="240" w:lineRule="auto"/>
            </w:pPr>
            <w:r>
              <w:rPr>
                <w:sz w:val="20"/>
              </w:rPr>
              <w:t>Not available</w:t>
            </w:r>
          </w:p>
        </w:tc>
        <w:tc>
          <w:tcPr>
            <w:tcW w:w="1560" w:type="dxa"/>
          </w:tcPr>
          <w:p w14:paraId="5FADA981" w14:textId="77777777" w:rsidR="00B27845" w:rsidRDefault="00000000">
            <w:pPr>
              <w:spacing w:line="240" w:lineRule="auto"/>
            </w:pPr>
            <w:r>
              <w:rPr>
                <w:sz w:val="20"/>
              </w:rPr>
              <w:t>Not available</w:t>
            </w:r>
          </w:p>
        </w:tc>
        <w:tc>
          <w:tcPr>
            <w:tcW w:w="1560" w:type="dxa"/>
          </w:tcPr>
          <w:p w14:paraId="244CA3E4" w14:textId="77777777" w:rsidR="00B27845" w:rsidRDefault="00000000">
            <w:pPr>
              <w:spacing w:line="240" w:lineRule="auto"/>
            </w:pPr>
            <w:r>
              <w:rPr>
                <w:sz w:val="20"/>
              </w:rPr>
              <w:t>Not available</w:t>
            </w:r>
          </w:p>
        </w:tc>
      </w:tr>
      <w:tr w:rsidR="00B27845" w14:paraId="12C96CF6" w14:textId="77777777">
        <w:trPr>
          <w:jc w:val="center"/>
        </w:trPr>
        <w:tc>
          <w:tcPr>
            <w:tcW w:w="1560" w:type="dxa"/>
          </w:tcPr>
          <w:p w14:paraId="21B5C196" w14:textId="77777777" w:rsidR="00B27845" w:rsidRDefault="00000000">
            <w:pPr>
              <w:spacing w:line="240" w:lineRule="auto"/>
            </w:pPr>
            <w:r>
              <w:rPr>
                <w:sz w:val="20"/>
              </w:rPr>
              <w:t>Universal access</w:t>
            </w:r>
          </w:p>
        </w:tc>
        <w:tc>
          <w:tcPr>
            <w:tcW w:w="1560" w:type="dxa"/>
          </w:tcPr>
          <w:p w14:paraId="54D069EA" w14:textId="77777777" w:rsidR="00B27845" w:rsidRDefault="00000000">
            <w:pPr>
              <w:spacing w:line="240" w:lineRule="auto"/>
            </w:pPr>
            <w:r>
              <w:rPr>
                <w:sz w:val="20"/>
              </w:rPr>
              <w:t>Bank account required</w:t>
            </w:r>
          </w:p>
        </w:tc>
        <w:tc>
          <w:tcPr>
            <w:tcW w:w="1560" w:type="dxa"/>
          </w:tcPr>
          <w:p w14:paraId="5A7C085A" w14:textId="77777777" w:rsidR="00B27845" w:rsidRDefault="00000000">
            <w:pPr>
              <w:spacing w:line="240" w:lineRule="auto"/>
            </w:pPr>
            <w:r>
              <w:rPr>
                <w:sz w:val="20"/>
              </w:rPr>
              <w:t>Purchase required</w:t>
            </w:r>
          </w:p>
        </w:tc>
        <w:tc>
          <w:tcPr>
            <w:tcW w:w="1560" w:type="dxa"/>
          </w:tcPr>
          <w:p w14:paraId="6359566F" w14:textId="77777777" w:rsidR="00B27845" w:rsidRDefault="00000000">
            <w:pPr>
              <w:spacing w:line="240" w:lineRule="auto"/>
            </w:pPr>
            <w:r>
              <w:rPr>
                <w:sz w:val="20"/>
              </w:rPr>
              <w:t>Purchase required</w:t>
            </w:r>
          </w:p>
        </w:tc>
        <w:tc>
          <w:tcPr>
            <w:tcW w:w="1560" w:type="dxa"/>
          </w:tcPr>
          <w:p w14:paraId="7555D62F" w14:textId="77777777" w:rsidR="00B27845" w:rsidRDefault="00000000">
            <w:pPr>
              <w:spacing w:line="240" w:lineRule="auto"/>
            </w:pPr>
            <w:r>
              <w:rPr>
                <w:sz w:val="20"/>
              </w:rPr>
              <w:t>Bank/device required</w:t>
            </w:r>
          </w:p>
        </w:tc>
        <w:tc>
          <w:tcPr>
            <w:tcW w:w="1560" w:type="dxa"/>
          </w:tcPr>
          <w:p w14:paraId="7906BE8F" w14:textId="77777777" w:rsidR="00B27845" w:rsidRDefault="00000000">
            <w:pPr>
              <w:spacing w:line="240" w:lineRule="auto"/>
            </w:pPr>
            <w:r>
              <w:rPr>
                <w:sz w:val="20"/>
              </w:rPr>
              <w:t>Governments only</w:t>
            </w:r>
          </w:p>
        </w:tc>
      </w:tr>
      <w:tr w:rsidR="00B27845" w14:paraId="3702A54B" w14:textId="77777777">
        <w:trPr>
          <w:jc w:val="center"/>
        </w:trPr>
        <w:tc>
          <w:tcPr>
            <w:tcW w:w="1560" w:type="dxa"/>
          </w:tcPr>
          <w:p w14:paraId="5465DA54" w14:textId="77777777" w:rsidR="00B27845" w:rsidRDefault="00000000">
            <w:pPr>
              <w:spacing w:line="240" w:lineRule="auto"/>
            </w:pPr>
            <w:r>
              <w:rPr>
                <w:sz w:val="20"/>
              </w:rPr>
              <w:t xml:space="preserve">Cross-border </w:t>
            </w:r>
            <w:r>
              <w:rPr>
                <w:sz w:val="20"/>
              </w:rPr>
              <w:lastRenderedPageBreak/>
              <w:t>cost</w:t>
            </w:r>
          </w:p>
        </w:tc>
        <w:tc>
          <w:tcPr>
            <w:tcW w:w="1560" w:type="dxa"/>
          </w:tcPr>
          <w:p w14:paraId="6275B4DC" w14:textId="77777777" w:rsidR="00B27845" w:rsidRDefault="00000000">
            <w:pPr>
              <w:spacing w:line="240" w:lineRule="auto"/>
            </w:pPr>
            <w:r>
              <w:rPr>
                <w:sz w:val="20"/>
              </w:rPr>
              <w:lastRenderedPageBreak/>
              <w:t>3-7%</w:t>
            </w:r>
          </w:p>
        </w:tc>
        <w:tc>
          <w:tcPr>
            <w:tcW w:w="1560" w:type="dxa"/>
          </w:tcPr>
          <w:p w14:paraId="58A84EC9" w14:textId="77777777" w:rsidR="00B27845" w:rsidRDefault="00000000">
            <w:pPr>
              <w:spacing w:line="240" w:lineRule="auto"/>
            </w:pPr>
            <w:r>
              <w:rPr>
                <w:sz w:val="20"/>
              </w:rPr>
              <w:t xml:space="preserve">Variable (USD </w:t>
            </w:r>
            <w:r>
              <w:rPr>
                <w:sz w:val="20"/>
              </w:rPr>
              <w:lastRenderedPageBreak/>
              <w:t>1-50+)</w:t>
            </w:r>
          </w:p>
        </w:tc>
        <w:tc>
          <w:tcPr>
            <w:tcW w:w="1560" w:type="dxa"/>
          </w:tcPr>
          <w:p w14:paraId="4BE36051" w14:textId="77777777" w:rsidR="00B27845" w:rsidRDefault="00000000">
            <w:pPr>
              <w:spacing w:line="240" w:lineRule="auto"/>
            </w:pPr>
            <w:r>
              <w:rPr>
                <w:sz w:val="20"/>
              </w:rPr>
              <w:lastRenderedPageBreak/>
              <w:t>Low</w:t>
            </w:r>
          </w:p>
        </w:tc>
        <w:tc>
          <w:tcPr>
            <w:tcW w:w="1560" w:type="dxa"/>
          </w:tcPr>
          <w:p w14:paraId="6CF2E175" w14:textId="77777777" w:rsidR="00B27845" w:rsidRDefault="00000000">
            <w:pPr>
              <w:spacing w:line="240" w:lineRule="auto"/>
            </w:pPr>
            <w:r>
              <w:rPr>
                <w:sz w:val="20"/>
              </w:rPr>
              <w:t>National only</w:t>
            </w:r>
          </w:p>
        </w:tc>
        <w:tc>
          <w:tcPr>
            <w:tcW w:w="1560" w:type="dxa"/>
          </w:tcPr>
          <w:p w14:paraId="3CC04422" w14:textId="77777777" w:rsidR="00B27845" w:rsidRDefault="00000000">
            <w:pPr>
              <w:spacing w:line="240" w:lineRule="auto"/>
            </w:pPr>
            <w:r>
              <w:rPr>
                <w:sz w:val="20"/>
              </w:rPr>
              <w:t xml:space="preserve">N/A (not </w:t>
            </w:r>
            <w:r>
              <w:rPr>
                <w:sz w:val="20"/>
              </w:rPr>
              <w:lastRenderedPageBreak/>
              <w:t>transactional)</w:t>
            </w:r>
          </w:p>
        </w:tc>
      </w:tr>
      <w:tr w:rsidR="00B27845" w14:paraId="21D5AAB8" w14:textId="77777777">
        <w:trPr>
          <w:jc w:val="center"/>
        </w:trPr>
        <w:tc>
          <w:tcPr>
            <w:tcW w:w="1560" w:type="dxa"/>
          </w:tcPr>
          <w:p w14:paraId="7B8BF905" w14:textId="77777777" w:rsidR="00B27845" w:rsidRDefault="00000000">
            <w:pPr>
              <w:spacing w:line="240" w:lineRule="auto"/>
            </w:pPr>
            <w:r>
              <w:rPr>
                <w:sz w:val="20"/>
              </w:rPr>
              <w:lastRenderedPageBreak/>
              <w:t>Identity/recovery</w:t>
            </w:r>
          </w:p>
        </w:tc>
        <w:tc>
          <w:tcPr>
            <w:tcW w:w="1560" w:type="dxa"/>
          </w:tcPr>
          <w:p w14:paraId="43DD3FA9" w14:textId="77777777" w:rsidR="00B27845" w:rsidRDefault="00000000">
            <w:pPr>
              <w:spacing w:line="240" w:lineRule="auto"/>
            </w:pPr>
            <w:r>
              <w:rPr>
                <w:sz w:val="20"/>
              </w:rPr>
              <w:t>Institution-dependent</w:t>
            </w:r>
          </w:p>
        </w:tc>
        <w:tc>
          <w:tcPr>
            <w:tcW w:w="1560" w:type="dxa"/>
          </w:tcPr>
          <w:p w14:paraId="19E00034" w14:textId="77777777" w:rsidR="00B27845" w:rsidRDefault="00000000">
            <w:pPr>
              <w:spacing w:line="240" w:lineRule="auto"/>
            </w:pPr>
            <w:r>
              <w:rPr>
                <w:sz w:val="20"/>
              </w:rPr>
              <w:t>None (lost key = lost funds)</w:t>
            </w:r>
          </w:p>
        </w:tc>
        <w:tc>
          <w:tcPr>
            <w:tcW w:w="1560" w:type="dxa"/>
          </w:tcPr>
          <w:p w14:paraId="41747B25" w14:textId="77777777" w:rsidR="00B27845" w:rsidRDefault="00000000">
            <w:pPr>
              <w:spacing w:line="240" w:lineRule="auto"/>
            </w:pPr>
            <w:r>
              <w:rPr>
                <w:sz w:val="20"/>
              </w:rPr>
              <w:t>Exchange-dependent</w:t>
            </w:r>
          </w:p>
        </w:tc>
        <w:tc>
          <w:tcPr>
            <w:tcW w:w="1560" w:type="dxa"/>
          </w:tcPr>
          <w:p w14:paraId="2CA51362" w14:textId="77777777" w:rsidR="00B27845" w:rsidRDefault="00000000">
            <w:pPr>
              <w:spacing w:line="240" w:lineRule="auto"/>
            </w:pPr>
            <w:r>
              <w:rPr>
                <w:sz w:val="20"/>
              </w:rPr>
              <w:t>Government-controlled</w:t>
            </w:r>
          </w:p>
        </w:tc>
        <w:tc>
          <w:tcPr>
            <w:tcW w:w="1560" w:type="dxa"/>
          </w:tcPr>
          <w:p w14:paraId="53E56161" w14:textId="77777777" w:rsidR="00B27845" w:rsidRDefault="00000000">
            <w:pPr>
              <w:spacing w:line="240" w:lineRule="auto"/>
            </w:pPr>
            <w:r>
              <w:rPr>
                <w:sz w:val="20"/>
              </w:rPr>
              <w:t>N/A</w:t>
            </w:r>
          </w:p>
        </w:tc>
      </w:tr>
      <w:tr w:rsidR="00B27845" w14:paraId="6D8E6620" w14:textId="77777777">
        <w:trPr>
          <w:jc w:val="center"/>
        </w:trPr>
        <w:tc>
          <w:tcPr>
            <w:tcW w:w="1560" w:type="dxa"/>
          </w:tcPr>
          <w:p w14:paraId="1D031E93" w14:textId="77777777" w:rsidR="00B27845" w:rsidRDefault="00000000">
            <w:pPr>
              <w:spacing w:line="240" w:lineRule="auto"/>
            </w:pPr>
            <w:r>
              <w:rPr>
                <w:sz w:val="20"/>
              </w:rPr>
              <w:t>Anti-hoarding</w:t>
            </w:r>
          </w:p>
        </w:tc>
        <w:tc>
          <w:tcPr>
            <w:tcW w:w="1560" w:type="dxa"/>
          </w:tcPr>
          <w:p w14:paraId="1BB8BD0E" w14:textId="77777777" w:rsidR="00B27845" w:rsidRDefault="00000000">
            <w:pPr>
              <w:spacing w:line="240" w:lineRule="auto"/>
            </w:pPr>
            <w:r>
              <w:rPr>
                <w:sz w:val="20"/>
              </w:rPr>
              <w:t>None</w:t>
            </w:r>
          </w:p>
        </w:tc>
        <w:tc>
          <w:tcPr>
            <w:tcW w:w="1560" w:type="dxa"/>
          </w:tcPr>
          <w:p w14:paraId="193978C9" w14:textId="77777777" w:rsidR="00B27845" w:rsidRDefault="00000000">
            <w:pPr>
              <w:spacing w:line="240" w:lineRule="auto"/>
            </w:pPr>
            <w:r>
              <w:rPr>
                <w:sz w:val="20"/>
              </w:rPr>
              <w:t>None</w:t>
            </w:r>
          </w:p>
        </w:tc>
        <w:tc>
          <w:tcPr>
            <w:tcW w:w="1560" w:type="dxa"/>
          </w:tcPr>
          <w:p w14:paraId="4CDB816C" w14:textId="77777777" w:rsidR="00B27845" w:rsidRDefault="00000000">
            <w:pPr>
              <w:spacing w:line="240" w:lineRule="auto"/>
            </w:pPr>
            <w:r>
              <w:rPr>
                <w:sz w:val="20"/>
              </w:rPr>
              <w:t>None</w:t>
            </w:r>
          </w:p>
        </w:tc>
        <w:tc>
          <w:tcPr>
            <w:tcW w:w="1560" w:type="dxa"/>
          </w:tcPr>
          <w:p w14:paraId="1C00F43D" w14:textId="77777777" w:rsidR="00B27845" w:rsidRDefault="00000000">
            <w:pPr>
              <w:spacing w:line="240" w:lineRule="auto"/>
            </w:pPr>
            <w:r>
              <w:rPr>
                <w:sz w:val="20"/>
              </w:rPr>
              <w:t>Possible (negative rates)</w:t>
            </w:r>
          </w:p>
        </w:tc>
        <w:tc>
          <w:tcPr>
            <w:tcW w:w="1560" w:type="dxa"/>
          </w:tcPr>
          <w:p w14:paraId="6BA68021" w14:textId="77777777" w:rsidR="00B27845" w:rsidRDefault="00000000">
            <w:pPr>
              <w:spacing w:line="240" w:lineRule="auto"/>
            </w:pPr>
            <w:r>
              <w:rPr>
                <w:sz w:val="20"/>
              </w:rPr>
              <w:t>N/A</w:t>
            </w:r>
          </w:p>
        </w:tc>
      </w:tr>
      <w:tr w:rsidR="00B27845" w14:paraId="355716EA" w14:textId="77777777">
        <w:trPr>
          <w:jc w:val="center"/>
        </w:trPr>
        <w:tc>
          <w:tcPr>
            <w:tcW w:w="1560" w:type="dxa"/>
          </w:tcPr>
          <w:p w14:paraId="0AF0C873" w14:textId="77777777" w:rsidR="00B27845" w:rsidRDefault="00000000">
            <w:pPr>
              <w:spacing w:line="240" w:lineRule="auto"/>
            </w:pPr>
            <w:r>
              <w:rPr>
                <w:sz w:val="20"/>
              </w:rPr>
              <w:t>Energy consumption</w:t>
            </w:r>
          </w:p>
        </w:tc>
        <w:tc>
          <w:tcPr>
            <w:tcW w:w="1560" w:type="dxa"/>
          </w:tcPr>
          <w:p w14:paraId="524689C4" w14:textId="77777777" w:rsidR="00B27845" w:rsidRDefault="00000000">
            <w:pPr>
              <w:spacing w:line="240" w:lineRule="auto"/>
            </w:pPr>
            <w:r>
              <w:rPr>
                <w:sz w:val="20"/>
              </w:rPr>
              <w:t>N/A</w:t>
            </w:r>
          </w:p>
        </w:tc>
        <w:tc>
          <w:tcPr>
            <w:tcW w:w="1560" w:type="dxa"/>
          </w:tcPr>
          <w:p w14:paraId="77200190" w14:textId="77777777" w:rsidR="00B27845" w:rsidRDefault="00000000">
            <w:pPr>
              <w:spacing w:line="240" w:lineRule="auto"/>
            </w:pPr>
            <w:r>
              <w:rPr>
                <w:sz w:val="20"/>
              </w:rPr>
              <w:t>~100 TWh/year</w:t>
            </w:r>
          </w:p>
        </w:tc>
        <w:tc>
          <w:tcPr>
            <w:tcW w:w="1560" w:type="dxa"/>
          </w:tcPr>
          <w:p w14:paraId="21E8D797" w14:textId="77777777" w:rsidR="00B27845" w:rsidRDefault="00000000">
            <w:pPr>
              <w:spacing w:line="240" w:lineRule="auto"/>
            </w:pPr>
            <w:r>
              <w:rPr>
                <w:sz w:val="20"/>
              </w:rPr>
              <w:t>Blockchain-dependent</w:t>
            </w:r>
          </w:p>
        </w:tc>
        <w:tc>
          <w:tcPr>
            <w:tcW w:w="1560" w:type="dxa"/>
          </w:tcPr>
          <w:p w14:paraId="7CA39371" w14:textId="77777777" w:rsidR="00B27845" w:rsidRDefault="00000000">
            <w:pPr>
              <w:spacing w:line="240" w:lineRule="auto"/>
            </w:pPr>
            <w:r>
              <w:rPr>
                <w:sz w:val="20"/>
              </w:rPr>
              <w:t>Varies</w:t>
            </w:r>
          </w:p>
        </w:tc>
        <w:tc>
          <w:tcPr>
            <w:tcW w:w="1560" w:type="dxa"/>
          </w:tcPr>
          <w:p w14:paraId="2A5C6338" w14:textId="77777777" w:rsidR="00B27845" w:rsidRDefault="00000000">
            <w:pPr>
              <w:spacing w:line="240" w:lineRule="auto"/>
            </w:pPr>
            <w:r>
              <w:rPr>
                <w:sz w:val="20"/>
              </w:rPr>
              <w:t>N/A</w:t>
            </w:r>
          </w:p>
        </w:tc>
      </w:tr>
      <w:tr w:rsidR="00B27845" w14:paraId="4D49E612" w14:textId="77777777">
        <w:trPr>
          <w:jc w:val="center"/>
        </w:trPr>
        <w:tc>
          <w:tcPr>
            <w:tcW w:w="1560" w:type="dxa"/>
          </w:tcPr>
          <w:p w14:paraId="6916D1FE" w14:textId="77777777" w:rsidR="00B27845" w:rsidRDefault="00000000">
            <w:pPr>
              <w:spacing w:line="240" w:lineRule="auto"/>
            </w:pPr>
            <w:r>
              <w:rPr>
                <w:sz w:val="20"/>
              </w:rPr>
              <w:t>Wealth concentration</w:t>
            </w:r>
          </w:p>
        </w:tc>
        <w:tc>
          <w:tcPr>
            <w:tcW w:w="1560" w:type="dxa"/>
          </w:tcPr>
          <w:p w14:paraId="2B82E5F3" w14:textId="77777777" w:rsidR="00B27845" w:rsidRDefault="00000000">
            <w:pPr>
              <w:spacing w:line="240" w:lineRule="auto"/>
            </w:pPr>
            <w:r>
              <w:rPr>
                <w:sz w:val="20"/>
              </w:rPr>
              <w:t>High (90:10 ownership)</w:t>
            </w:r>
          </w:p>
        </w:tc>
        <w:tc>
          <w:tcPr>
            <w:tcW w:w="1560" w:type="dxa"/>
          </w:tcPr>
          <w:p w14:paraId="57BC6B99" w14:textId="77777777" w:rsidR="00B27845" w:rsidRDefault="00000000">
            <w:pPr>
              <w:spacing w:line="240" w:lineRule="auto"/>
            </w:pPr>
            <w:r>
              <w:rPr>
                <w:sz w:val="20"/>
              </w:rPr>
              <w:t>Extreme (~2% addresses hold ~95% of supply)</w:t>
            </w:r>
          </w:p>
        </w:tc>
        <w:tc>
          <w:tcPr>
            <w:tcW w:w="1560" w:type="dxa"/>
          </w:tcPr>
          <w:p w14:paraId="7278C1FE" w14:textId="77777777" w:rsidR="00B27845" w:rsidRDefault="00000000">
            <w:pPr>
              <w:spacing w:line="240" w:lineRule="auto"/>
            </w:pPr>
            <w:r>
              <w:rPr>
                <w:sz w:val="20"/>
              </w:rPr>
              <w:t>High (issuer concentration)</w:t>
            </w:r>
          </w:p>
        </w:tc>
        <w:tc>
          <w:tcPr>
            <w:tcW w:w="1560" w:type="dxa"/>
          </w:tcPr>
          <w:p w14:paraId="1DB71F51" w14:textId="77777777" w:rsidR="00B27845" w:rsidRDefault="00000000">
            <w:pPr>
              <w:spacing w:line="240" w:lineRule="auto"/>
            </w:pPr>
            <w:r>
              <w:rPr>
                <w:sz w:val="20"/>
              </w:rPr>
              <w:t>Mirrors fiat distribution</w:t>
            </w:r>
          </w:p>
        </w:tc>
        <w:tc>
          <w:tcPr>
            <w:tcW w:w="1560" w:type="dxa"/>
          </w:tcPr>
          <w:p w14:paraId="15392B96" w14:textId="77777777" w:rsidR="00B27845" w:rsidRDefault="00000000">
            <w:pPr>
              <w:spacing w:line="240" w:lineRule="auto"/>
            </w:pPr>
            <w:r>
              <w:rPr>
                <w:sz w:val="20"/>
              </w:rPr>
              <w:t>Quota-proportional</w:t>
            </w:r>
          </w:p>
        </w:tc>
      </w:tr>
    </w:tbl>
    <w:p w14:paraId="270C0C71" w14:textId="77777777" w:rsidR="00B27845" w:rsidRDefault="00B27845"/>
    <w:p w14:paraId="144624F8" w14:textId="77777777" w:rsidR="00B27845" w:rsidRDefault="00000000">
      <w:r>
        <w:t>Bitcoin addresses inflation through fixed supply but fails as a medium of exchange: extreme volatility, high transaction costs, and an estimated 3 to 4 million permanently lost coins. Stablecoins inherit all structural deficiencies of the currencies they track. CBDCs digitise existing fiat architecture. The SDR is restricted to intergovernmental use.</w:t>
      </w:r>
    </w:p>
    <w:p w14:paraId="6204F05E" w14:textId="77777777" w:rsidR="00B27845" w:rsidRDefault="00000000">
      <w:pPr>
        <w:spacing w:before="360"/>
      </w:pPr>
      <w:r>
        <w:rPr>
          <w:b/>
          <w:sz w:val="26"/>
        </w:rPr>
        <w:t>5. The Designed Artefact: GX Coin Protocol</w:t>
      </w:r>
    </w:p>
    <w:p w14:paraId="728641C7" w14:textId="77777777" w:rsidR="00B27845" w:rsidRDefault="00000000">
      <w:r>
        <w:t>GX Coin Protocol is a rule-based, non-profit, public-utility monetary architecture designed to address each problem identified in Section 4. The protocol specifies a complete economic system comprising supply management, value anchoring, lending, distribution, taxation, governance, and identity infrastructure.</w:t>
      </w:r>
    </w:p>
    <w:p w14:paraId="23966442" w14:textId="77777777" w:rsidR="00B27845" w:rsidRDefault="00000000">
      <w:pPr>
        <w:spacing w:before="240"/>
      </w:pPr>
      <w:r>
        <w:rPr>
          <w:b/>
          <w:sz w:val="24"/>
        </w:rPr>
        <w:t>5.1 Fixed Supply: Eliminating Inflationary Debasement</w:t>
      </w:r>
    </w:p>
    <w:p w14:paraId="5B910048" w14:textId="77777777" w:rsidR="00B27845" w:rsidRDefault="00000000">
      <w:r>
        <w:t>The protocol defines a total fixed supply of 1.25 trillion GX units, subdivided into 1,000,000 Qirat per unit for atomic precision. No mechanism exists to create units beyond this cap. No individual, institution, or government can alter the supply. Units are minted on demand as participants register or loans are disbursed, but total minted supply approaches the fixed cap asymptotically and can never exceed it.</w:t>
      </w:r>
    </w:p>
    <w:p w14:paraId="64C4AEDC" w14:textId="77777777" w:rsidR="00B27845" w:rsidRDefault="00000000">
      <w:r>
        <w:t>This directly addresses the inflationary debasement problem (Section 4.2). A monetary medium whose supply cannot be expanded eliminates the mechanism through which purchasing power is systematically eroded.</w:t>
      </w:r>
    </w:p>
    <w:p w14:paraId="68750C8E" w14:textId="77777777" w:rsidR="00B27845" w:rsidRDefault="00000000">
      <w:pPr>
        <w:spacing w:before="240"/>
      </w:pPr>
      <w:r>
        <w:rPr>
          <w:b/>
          <w:sz w:val="24"/>
        </w:rPr>
        <w:t>5.2 Gold-Referenced Value Anchor: Eliminating Arbitrary Value</w:t>
      </w:r>
    </w:p>
    <w:p w14:paraId="6D6F8D3B" w14:textId="77777777" w:rsidR="00B27845" w:rsidRDefault="00000000">
      <w:r>
        <w:t xml:space="preserve">Each GX unit references the value of 1 gram of gold, fixed at a genesis rate of USD 120 per gram (approximately USD 3,732 per troy ounce) established on 23/24 September 2025. The protocol does not track gold's market price after genesis. There is no oracle, no price feed, no exchange-rate adjustment </w:t>
      </w:r>
      <w:r>
        <w:lastRenderedPageBreak/>
        <w:t>mechanism. The genesis rate is a calibration, not a peg: a one-time reference point chosen to enable translation between the new unit and existing price systems, analogous to the Euro's fixed locking rates against legacy European currencies in 1999. A calibration creates no ongoing obligation and therefore no ratio that can be arbitraged against.</w:t>
      </w:r>
    </w:p>
    <w:p w14:paraId="6B8A14FB" w14:textId="77777777" w:rsidR="00B27845" w:rsidRDefault="00000000">
      <w:r>
        <w:t>GX is gold-referenced, not gold-backed. No vault of physical gold guarantees redemption. This is not a gap in the design; it is the design. The historical record demonstrates that the redemption contract is itself the failure mode of gold-backed systems. Every modern fiat currency began its life convertible into a specific weight of gold. The US dollar, the British pound, the French franc, and the Swiss franc all started gold-backed. In each case, issuance expanded beyond what reserves could honour, and the outcome was the same: default, forced devaluation, or unilateral suspension of convertibility, as occurred on 15 August 1971 when the United States ended gold redemption. GX inverts this trajectory. It begins gold-referenced without a redemption contract, so there is no promise to break. As the ecosystem matures and the treasury accumulates reserves through ordinary economic activity, backing, if it emerges, is earned through adoption rather than promised at issuance.</w:t>
      </w:r>
    </w:p>
    <w:p w14:paraId="2B53C776" w14:textId="77777777" w:rsidR="00B27845" w:rsidRDefault="00000000">
      <w:pPr>
        <w:spacing w:before="240"/>
      </w:pPr>
      <w:r>
        <w:rPr>
          <w:b/>
          <w:sz w:val="24"/>
        </w:rPr>
        <w:t>5.3 Interest-Free Operations: Eliminating the Mathematical Impossibility</w:t>
      </w:r>
    </w:p>
    <w:p w14:paraId="4817D175" w14:textId="0F4D0320" w:rsidR="00B27845" w:rsidRDefault="00000000">
      <w:r>
        <w:t xml:space="preserve">All financial operations within the protocol are interest-free. The protocol allocates </w:t>
      </w:r>
      <w:r w:rsidR="00955D9B">
        <w:t>25</w:t>
      </w:r>
      <w:r>
        <w:t>0 billion GX (2</w:t>
      </w:r>
      <w:r w:rsidR="00955D9B">
        <w:t>0</w:t>
      </w:r>
      <w:r>
        <w:t>% of total supply) to a dedicated Loan Pool. Personal loans carry zero interest with principal-only repayment. Business loans employ a profit-sharing model: a grace period (12 months) during which no repayments are required, followed by repayment of 10% of profits until the principal is recovered. If the business does not generate profit, repayment is halted and resumes automatically when profitability returns.</w:t>
      </w:r>
    </w:p>
    <w:p w14:paraId="54CB5C4E" w14:textId="77777777" w:rsidR="00B27845" w:rsidRDefault="00000000">
      <w:r>
        <w:t>This directly addresses the mathematical impossibility identified in Section 4.1. With fixed supply and no interest, total claims on money (principal only) can never exceed total money in existence (principal). The profit-sharing model aligns lender returns with actual economic productivity rather than with time-based extraction, creating incentive alignment between lender and borrower that interest-based lending structurally prevents.</w:t>
      </w:r>
    </w:p>
    <w:p w14:paraId="18A0FE45" w14:textId="77777777" w:rsidR="00B27845" w:rsidRDefault="00000000">
      <w:r>
        <w:t>Profit-sharing financial instruments are not unprecedented. The global market for interest-free finance exceeded USD 4 trillion in assets by 2024, growing at 10 to 15% annually for two decades (IFSB, 2024).</w:t>
      </w:r>
    </w:p>
    <w:p w14:paraId="24647B96" w14:textId="77777777" w:rsidR="00955D9B" w:rsidRDefault="00955D9B">
      <w:pPr>
        <w:spacing w:after="200" w:line="276" w:lineRule="auto"/>
        <w:rPr>
          <w:b/>
          <w:sz w:val="24"/>
        </w:rPr>
      </w:pPr>
      <w:r>
        <w:rPr>
          <w:b/>
          <w:sz w:val="24"/>
        </w:rPr>
        <w:br w:type="page"/>
      </w:r>
    </w:p>
    <w:p w14:paraId="7347600D" w14:textId="187D925B" w:rsidR="00B27845" w:rsidRDefault="00000000">
      <w:pPr>
        <w:spacing w:before="240"/>
      </w:pPr>
      <w:r>
        <w:rPr>
          <w:b/>
          <w:sz w:val="24"/>
        </w:rPr>
        <w:lastRenderedPageBreak/>
        <w:t>5.4 Grant-Based Distribution: Eliminating Exclusion</w:t>
      </w:r>
    </w:p>
    <w:p w14:paraId="143CBB67" w14:textId="264AD7F5" w:rsidR="00B27845" w:rsidRDefault="00000000">
      <w:r>
        <w:t xml:space="preserve">GX units are distributed exclusively as grants to individual participants, government treasuries, and charitable organisations. There is no token sale, no initial offering, no purchase mechanism. Distribution occurs across six declining phases targeting </w:t>
      </w:r>
      <w:r w:rsidR="004C0CFC">
        <w:t>4</w:t>
      </w:r>
      <w:r>
        <w:t xml:space="preserve"> billion participants globally.</w:t>
      </w:r>
    </w:p>
    <w:p w14:paraId="78EE0873" w14:textId="77777777" w:rsidR="00B27845" w:rsidRDefault="00000000">
      <w:pPr>
        <w:spacing w:before="240" w:after="0"/>
      </w:pPr>
      <w:r>
        <w:rPr>
          <w:b/>
        </w:rPr>
        <w:t>Table 2</w:t>
      </w:r>
    </w:p>
    <w:p w14:paraId="5EC72028" w14:textId="77777777" w:rsidR="00B27845" w:rsidRDefault="00000000">
      <w:r>
        <w:rPr>
          <w:i/>
        </w:rPr>
        <w:t>Grant Distribution Schedule by Phase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27845" w14:paraId="6AC633E1" w14:textId="77777777">
        <w:trPr>
          <w:jc w:val="center"/>
        </w:trPr>
        <w:tc>
          <w:tcPr>
            <w:tcW w:w="1872" w:type="dxa"/>
          </w:tcPr>
          <w:p w14:paraId="18298C74" w14:textId="77777777" w:rsidR="00B27845" w:rsidRDefault="00000000">
            <w:pPr>
              <w:spacing w:line="240" w:lineRule="auto"/>
            </w:pPr>
            <w:r>
              <w:rPr>
                <w:b/>
                <w:sz w:val="20"/>
              </w:rPr>
              <w:t>Phase</w:t>
            </w:r>
          </w:p>
        </w:tc>
        <w:tc>
          <w:tcPr>
            <w:tcW w:w="1872" w:type="dxa"/>
          </w:tcPr>
          <w:p w14:paraId="0CFE0387" w14:textId="77777777" w:rsidR="00B27845" w:rsidRDefault="00000000">
            <w:pPr>
              <w:spacing w:line="240" w:lineRule="auto"/>
            </w:pPr>
            <w:r>
              <w:rPr>
                <w:b/>
                <w:sz w:val="20"/>
              </w:rPr>
              <w:t>Participants</w:t>
            </w:r>
          </w:p>
        </w:tc>
        <w:tc>
          <w:tcPr>
            <w:tcW w:w="1872" w:type="dxa"/>
          </w:tcPr>
          <w:p w14:paraId="07DA0D2A" w14:textId="77777777" w:rsidR="00B27845" w:rsidRDefault="00000000">
            <w:pPr>
              <w:spacing w:line="240" w:lineRule="auto"/>
            </w:pPr>
            <w:r>
              <w:rPr>
                <w:b/>
                <w:sz w:val="20"/>
              </w:rPr>
              <w:t>Per-Person Grant (GX)</w:t>
            </w:r>
          </w:p>
        </w:tc>
        <w:tc>
          <w:tcPr>
            <w:tcW w:w="1872" w:type="dxa"/>
          </w:tcPr>
          <w:p w14:paraId="5337C3CC" w14:textId="77777777" w:rsidR="00B27845" w:rsidRDefault="00000000">
            <w:pPr>
              <w:spacing w:line="240" w:lineRule="auto"/>
            </w:pPr>
            <w:r>
              <w:rPr>
                <w:b/>
                <w:sz w:val="20"/>
              </w:rPr>
              <w:t>Per-Person Government Allocation (GX)</w:t>
            </w:r>
          </w:p>
        </w:tc>
        <w:tc>
          <w:tcPr>
            <w:tcW w:w="1872" w:type="dxa"/>
          </w:tcPr>
          <w:p w14:paraId="1D5F4426" w14:textId="77777777" w:rsidR="00B27845" w:rsidRDefault="00000000">
            <w:pPr>
              <w:spacing w:line="240" w:lineRule="auto"/>
            </w:pPr>
            <w:r>
              <w:rPr>
                <w:b/>
                <w:sz w:val="20"/>
              </w:rPr>
              <w:t>Cumulative Participants</w:t>
            </w:r>
          </w:p>
        </w:tc>
      </w:tr>
      <w:tr w:rsidR="00B27845" w14:paraId="44882E59" w14:textId="77777777">
        <w:trPr>
          <w:jc w:val="center"/>
        </w:trPr>
        <w:tc>
          <w:tcPr>
            <w:tcW w:w="1872" w:type="dxa"/>
          </w:tcPr>
          <w:p w14:paraId="50C122EB" w14:textId="77777777" w:rsidR="00B27845" w:rsidRDefault="00000000">
            <w:pPr>
              <w:spacing w:line="240" w:lineRule="auto"/>
            </w:pPr>
            <w:r>
              <w:rPr>
                <w:sz w:val="20"/>
              </w:rPr>
              <w:t>1A</w:t>
            </w:r>
          </w:p>
        </w:tc>
        <w:tc>
          <w:tcPr>
            <w:tcW w:w="1872" w:type="dxa"/>
          </w:tcPr>
          <w:p w14:paraId="1C6565AB" w14:textId="77777777" w:rsidR="00B27845" w:rsidRDefault="00000000">
            <w:pPr>
              <w:spacing w:line="240" w:lineRule="auto"/>
            </w:pPr>
            <w:r>
              <w:rPr>
                <w:sz w:val="20"/>
              </w:rPr>
              <w:t>1,000,000</w:t>
            </w:r>
          </w:p>
        </w:tc>
        <w:tc>
          <w:tcPr>
            <w:tcW w:w="1872" w:type="dxa"/>
          </w:tcPr>
          <w:p w14:paraId="78FA11DB" w14:textId="77777777" w:rsidR="00B27845" w:rsidRDefault="00000000">
            <w:pPr>
              <w:spacing w:line="240" w:lineRule="auto"/>
            </w:pPr>
            <w:r>
              <w:rPr>
                <w:sz w:val="20"/>
              </w:rPr>
              <w:t>1,000</w:t>
            </w:r>
          </w:p>
        </w:tc>
        <w:tc>
          <w:tcPr>
            <w:tcW w:w="1872" w:type="dxa"/>
          </w:tcPr>
          <w:p w14:paraId="2C8BFC5D" w14:textId="4BC38136" w:rsidR="00B27845" w:rsidRDefault="004C0CFC">
            <w:pPr>
              <w:spacing w:line="240" w:lineRule="auto"/>
            </w:pPr>
            <w:r>
              <w:rPr>
                <w:sz w:val="20"/>
              </w:rPr>
              <w:t>8</w:t>
            </w:r>
            <w:r w:rsidR="00000000">
              <w:rPr>
                <w:sz w:val="20"/>
              </w:rPr>
              <w:t>0</w:t>
            </w:r>
          </w:p>
        </w:tc>
        <w:tc>
          <w:tcPr>
            <w:tcW w:w="1872" w:type="dxa"/>
          </w:tcPr>
          <w:p w14:paraId="115D54BA" w14:textId="77777777" w:rsidR="00B27845" w:rsidRDefault="00000000">
            <w:pPr>
              <w:spacing w:line="240" w:lineRule="auto"/>
            </w:pPr>
            <w:r>
              <w:rPr>
                <w:sz w:val="20"/>
              </w:rPr>
              <w:t>1,000,000</w:t>
            </w:r>
          </w:p>
        </w:tc>
      </w:tr>
      <w:tr w:rsidR="00B27845" w14:paraId="02BAF0C1" w14:textId="77777777">
        <w:trPr>
          <w:jc w:val="center"/>
        </w:trPr>
        <w:tc>
          <w:tcPr>
            <w:tcW w:w="1872" w:type="dxa"/>
          </w:tcPr>
          <w:p w14:paraId="3766F0D0" w14:textId="77777777" w:rsidR="00B27845" w:rsidRDefault="00000000">
            <w:pPr>
              <w:spacing w:line="240" w:lineRule="auto"/>
            </w:pPr>
            <w:r>
              <w:rPr>
                <w:sz w:val="20"/>
              </w:rPr>
              <w:t>1B</w:t>
            </w:r>
          </w:p>
        </w:tc>
        <w:tc>
          <w:tcPr>
            <w:tcW w:w="1872" w:type="dxa"/>
          </w:tcPr>
          <w:p w14:paraId="0331254C" w14:textId="77777777" w:rsidR="00B27845" w:rsidRDefault="00000000">
            <w:pPr>
              <w:spacing w:line="240" w:lineRule="auto"/>
            </w:pPr>
            <w:r>
              <w:rPr>
                <w:sz w:val="20"/>
              </w:rPr>
              <w:t>9,000,000</w:t>
            </w:r>
          </w:p>
        </w:tc>
        <w:tc>
          <w:tcPr>
            <w:tcW w:w="1872" w:type="dxa"/>
          </w:tcPr>
          <w:p w14:paraId="0F707DE6" w14:textId="77777777" w:rsidR="00B27845" w:rsidRDefault="00000000">
            <w:pPr>
              <w:spacing w:line="240" w:lineRule="auto"/>
            </w:pPr>
            <w:r>
              <w:rPr>
                <w:sz w:val="20"/>
              </w:rPr>
              <w:t>750</w:t>
            </w:r>
          </w:p>
        </w:tc>
        <w:tc>
          <w:tcPr>
            <w:tcW w:w="1872" w:type="dxa"/>
          </w:tcPr>
          <w:p w14:paraId="699A9741" w14:textId="1DBC0182" w:rsidR="00B27845" w:rsidRDefault="004C0CFC">
            <w:pPr>
              <w:spacing w:line="240" w:lineRule="auto"/>
            </w:pPr>
            <w:r>
              <w:rPr>
                <w:sz w:val="20"/>
              </w:rPr>
              <w:t>8</w:t>
            </w:r>
            <w:r w:rsidR="00000000">
              <w:rPr>
                <w:sz w:val="20"/>
              </w:rPr>
              <w:t>0</w:t>
            </w:r>
          </w:p>
        </w:tc>
        <w:tc>
          <w:tcPr>
            <w:tcW w:w="1872" w:type="dxa"/>
          </w:tcPr>
          <w:p w14:paraId="6AA97A05" w14:textId="77777777" w:rsidR="00B27845" w:rsidRDefault="00000000">
            <w:pPr>
              <w:spacing w:line="240" w:lineRule="auto"/>
            </w:pPr>
            <w:r>
              <w:rPr>
                <w:sz w:val="20"/>
              </w:rPr>
              <w:t>10,000,000</w:t>
            </w:r>
          </w:p>
        </w:tc>
      </w:tr>
      <w:tr w:rsidR="00B27845" w14:paraId="43DBC467" w14:textId="77777777">
        <w:trPr>
          <w:jc w:val="center"/>
        </w:trPr>
        <w:tc>
          <w:tcPr>
            <w:tcW w:w="1872" w:type="dxa"/>
          </w:tcPr>
          <w:p w14:paraId="58B2D4E8" w14:textId="77777777" w:rsidR="00B27845" w:rsidRDefault="00000000">
            <w:pPr>
              <w:spacing w:line="240" w:lineRule="auto"/>
            </w:pPr>
            <w:r>
              <w:rPr>
                <w:sz w:val="20"/>
              </w:rPr>
              <w:t>1C</w:t>
            </w:r>
          </w:p>
        </w:tc>
        <w:tc>
          <w:tcPr>
            <w:tcW w:w="1872" w:type="dxa"/>
          </w:tcPr>
          <w:p w14:paraId="5F9EBC59" w14:textId="77777777" w:rsidR="00B27845" w:rsidRDefault="00000000">
            <w:pPr>
              <w:spacing w:line="240" w:lineRule="auto"/>
            </w:pPr>
            <w:r>
              <w:rPr>
                <w:sz w:val="20"/>
              </w:rPr>
              <w:t>90,000,000</w:t>
            </w:r>
          </w:p>
        </w:tc>
        <w:tc>
          <w:tcPr>
            <w:tcW w:w="1872" w:type="dxa"/>
          </w:tcPr>
          <w:p w14:paraId="67AC7AAC" w14:textId="77777777" w:rsidR="00B27845" w:rsidRDefault="00000000">
            <w:pPr>
              <w:spacing w:line="240" w:lineRule="auto"/>
            </w:pPr>
            <w:r>
              <w:rPr>
                <w:sz w:val="20"/>
              </w:rPr>
              <w:t>500</w:t>
            </w:r>
          </w:p>
        </w:tc>
        <w:tc>
          <w:tcPr>
            <w:tcW w:w="1872" w:type="dxa"/>
          </w:tcPr>
          <w:p w14:paraId="5EEAF83E" w14:textId="2339B0B7" w:rsidR="00B27845" w:rsidRDefault="004C0CFC">
            <w:pPr>
              <w:spacing w:line="240" w:lineRule="auto"/>
            </w:pPr>
            <w:r>
              <w:rPr>
                <w:sz w:val="20"/>
              </w:rPr>
              <w:t>8</w:t>
            </w:r>
            <w:r w:rsidR="00000000">
              <w:rPr>
                <w:sz w:val="20"/>
              </w:rPr>
              <w:t>0</w:t>
            </w:r>
          </w:p>
        </w:tc>
        <w:tc>
          <w:tcPr>
            <w:tcW w:w="1872" w:type="dxa"/>
          </w:tcPr>
          <w:p w14:paraId="7742419B" w14:textId="77777777" w:rsidR="00B27845" w:rsidRDefault="00000000">
            <w:pPr>
              <w:spacing w:line="240" w:lineRule="auto"/>
            </w:pPr>
            <w:r>
              <w:rPr>
                <w:sz w:val="20"/>
              </w:rPr>
              <w:t>100,000,000</w:t>
            </w:r>
          </w:p>
        </w:tc>
      </w:tr>
      <w:tr w:rsidR="00B27845" w14:paraId="1B0F868C" w14:textId="77777777">
        <w:trPr>
          <w:jc w:val="center"/>
        </w:trPr>
        <w:tc>
          <w:tcPr>
            <w:tcW w:w="1872" w:type="dxa"/>
          </w:tcPr>
          <w:p w14:paraId="610A8F3D" w14:textId="77777777" w:rsidR="00B27845" w:rsidRDefault="00000000">
            <w:pPr>
              <w:spacing w:line="240" w:lineRule="auto"/>
            </w:pPr>
            <w:r>
              <w:rPr>
                <w:sz w:val="20"/>
              </w:rPr>
              <w:t>2</w:t>
            </w:r>
          </w:p>
        </w:tc>
        <w:tc>
          <w:tcPr>
            <w:tcW w:w="1872" w:type="dxa"/>
          </w:tcPr>
          <w:p w14:paraId="6D25FF9C" w14:textId="77777777" w:rsidR="00B27845" w:rsidRDefault="00000000">
            <w:pPr>
              <w:spacing w:line="240" w:lineRule="auto"/>
            </w:pPr>
            <w:r>
              <w:rPr>
                <w:sz w:val="20"/>
              </w:rPr>
              <w:t>200,000,000</w:t>
            </w:r>
          </w:p>
        </w:tc>
        <w:tc>
          <w:tcPr>
            <w:tcW w:w="1872" w:type="dxa"/>
          </w:tcPr>
          <w:p w14:paraId="65CBE574" w14:textId="77777777" w:rsidR="00B27845" w:rsidRDefault="00000000">
            <w:pPr>
              <w:spacing w:line="240" w:lineRule="auto"/>
            </w:pPr>
            <w:r>
              <w:rPr>
                <w:sz w:val="20"/>
              </w:rPr>
              <w:t>400</w:t>
            </w:r>
          </w:p>
        </w:tc>
        <w:tc>
          <w:tcPr>
            <w:tcW w:w="1872" w:type="dxa"/>
          </w:tcPr>
          <w:p w14:paraId="5A2E6EA0" w14:textId="01F7FDDD" w:rsidR="00B27845" w:rsidRDefault="004C0CFC">
            <w:pPr>
              <w:spacing w:line="240" w:lineRule="auto"/>
            </w:pPr>
            <w:r>
              <w:rPr>
                <w:sz w:val="20"/>
              </w:rPr>
              <w:t>8</w:t>
            </w:r>
            <w:r w:rsidR="00000000">
              <w:rPr>
                <w:sz w:val="20"/>
              </w:rPr>
              <w:t>0</w:t>
            </w:r>
          </w:p>
        </w:tc>
        <w:tc>
          <w:tcPr>
            <w:tcW w:w="1872" w:type="dxa"/>
          </w:tcPr>
          <w:p w14:paraId="4256E803" w14:textId="77777777" w:rsidR="00B27845" w:rsidRDefault="00000000">
            <w:pPr>
              <w:spacing w:line="240" w:lineRule="auto"/>
            </w:pPr>
            <w:r>
              <w:rPr>
                <w:sz w:val="20"/>
              </w:rPr>
              <w:t>300,000,000</w:t>
            </w:r>
          </w:p>
        </w:tc>
      </w:tr>
      <w:tr w:rsidR="00B27845" w14:paraId="3172B5B4" w14:textId="77777777">
        <w:trPr>
          <w:jc w:val="center"/>
        </w:trPr>
        <w:tc>
          <w:tcPr>
            <w:tcW w:w="1872" w:type="dxa"/>
          </w:tcPr>
          <w:p w14:paraId="3DA958F7" w14:textId="77777777" w:rsidR="00B27845" w:rsidRDefault="00000000">
            <w:pPr>
              <w:spacing w:line="240" w:lineRule="auto"/>
            </w:pPr>
            <w:r>
              <w:rPr>
                <w:sz w:val="20"/>
              </w:rPr>
              <w:t>3</w:t>
            </w:r>
          </w:p>
        </w:tc>
        <w:tc>
          <w:tcPr>
            <w:tcW w:w="1872" w:type="dxa"/>
          </w:tcPr>
          <w:p w14:paraId="24C6C6BC" w14:textId="77777777" w:rsidR="00B27845" w:rsidRDefault="00000000">
            <w:pPr>
              <w:spacing w:line="240" w:lineRule="auto"/>
            </w:pPr>
            <w:r>
              <w:rPr>
                <w:sz w:val="20"/>
              </w:rPr>
              <w:t>300,000,000</w:t>
            </w:r>
          </w:p>
        </w:tc>
        <w:tc>
          <w:tcPr>
            <w:tcW w:w="1872" w:type="dxa"/>
          </w:tcPr>
          <w:p w14:paraId="78C2ED50" w14:textId="77777777" w:rsidR="00B27845" w:rsidRDefault="00000000">
            <w:pPr>
              <w:spacing w:line="240" w:lineRule="auto"/>
            </w:pPr>
            <w:r>
              <w:rPr>
                <w:sz w:val="20"/>
              </w:rPr>
              <w:t>300</w:t>
            </w:r>
          </w:p>
        </w:tc>
        <w:tc>
          <w:tcPr>
            <w:tcW w:w="1872" w:type="dxa"/>
          </w:tcPr>
          <w:p w14:paraId="69172027" w14:textId="2A42B450" w:rsidR="00B27845" w:rsidRDefault="004C0CFC">
            <w:pPr>
              <w:spacing w:line="240" w:lineRule="auto"/>
            </w:pPr>
            <w:r>
              <w:rPr>
                <w:sz w:val="20"/>
              </w:rPr>
              <w:t>8</w:t>
            </w:r>
            <w:r w:rsidR="00000000">
              <w:rPr>
                <w:sz w:val="20"/>
              </w:rPr>
              <w:t>0</w:t>
            </w:r>
          </w:p>
        </w:tc>
        <w:tc>
          <w:tcPr>
            <w:tcW w:w="1872" w:type="dxa"/>
          </w:tcPr>
          <w:p w14:paraId="37396F61" w14:textId="77777777" w:rsidR="00B27845" w:rsidRDefault="00000000">
            <w:pPr>
              <w:spacing w:line="240" w:lineRule="auto"/>
            </w:pPr>
            <w:r>
              <w:rPr>
                <w:sz w:val="20"/>
              </w:rPr>
              <w:t>600,000,000</w:t>
            </w:r>
          </w:p>
        </w:tc>
      </w:tr>
      <w:tr w:rsidR="00B27845" w14:paraId="4339B951" w14:textId="77777777">
        <w:trPr>
          <w:jc w:val="center"/>
        </w:trPr>
        <w:tc>
          <w:tcPr>
            <w:tcW w:w="1872" w:type="dxa"/>
          </w:tcPr>
          <w:p w14:paraId="18B18F96" w14:textId="77777777" w:rsidR="00B27845" w:rsidRDefault="00000000">
            <w:pPr>
              <w:spacing w:line="240" w:lineRule="auto"/>
            </w:pPr>
            <w:r>
              <w:rPr>
                <w:sz w:val="20"/>
              </w:rPr>
              <w:t>4</w:t>
            </w:r>
          </w:p>
        </w:tc>
        <w:tc>
          <w:tcPr>
            <w:tcW w:w="1872" w:type="dxa"/>
          </w:tcPr>
          <w:p w14:paraId="6EDE351F" w14:textId="77777777" w:rsidR="00B27845" w:rsidRDefault="00000000">
            <w:pPr>
              <w:spacing w:line="240" w:lineRule="auto"/>
            </w:pPr>
            <w:r>
              <w:rPr>
                <w:sz w:val="20"/>
              </w:rPr>
              <w:t>400,000,000</w:t>
            </w:r>
          </w:p>
        </w:tc>
        <w:tc>
          <w:tcPr>
            <w:tcW w:w="1872" w:type="dxa"/>
          </w:tcPr>
          <w:p w14:paraId="5DA8D8FA" w14:textId="77777777" w:rsidR="00B27845" w:rsidRDefault="00000000">
            <w:pPr>
              <w:spacing w:line="240" w:lineRule="auto"/>
            </w:pPr>
            <w:r>
              <w:rPr>
                <w:sz w:val="20"/>
              </w:rPr>
              <w:t>200</w:t>
            </w:r>
          </w:p>
        </w:tc>
        <w:tc>
          <w:tcPr>
            <w:tcW w:w="1872" w:type="dxa"/>
          </w:tcPr>
          <w:p w14:paraId="3198CC42" w14:textId="58850C65" w:rsidR="00B27845" w:rsidRDefault="004C0CFC">
            <w:pPr>
              <w:spacing w:line="240" w:lineRule="auto"/>
            </w:pPr>
            <w:r>
              <w:rPr>
                <w:sz w:val="20"/>
              </w:rPr>
              <w:t>8</w:t>
            </w:r>
            <w:r w:rsidR="00000000">
              <w:rPr>
                <w:sz w:val="20"/>
              </w:rPr>
              <w:t>0</w:t>
            </w:r>
          </w:p>
        </w:tc>
        <w:tc>
          <w:tcPr>
            <w:tcW w:w="1872" w:type="dxa"/>
          </w:tcPr>
          <w:p w14:paraId="4DE0C6DC" w14:textId="77777777" w:rsidR="00B27845" w:rsidRDefault="00000000">
            <w:pPr>
              <w:spacing w:line="240" w:lineRule="auto"/>
            </w:pPr>
            <w:r>
              <w:rPr>
                <w:sz w:val="20"/>
              </w:rPr>
              <w:t>1,000,000,000</w:t>
            </w:r>
          </w:p>
        </w:tc>
      </w:tr>
      <w:tr w:rsidR="00B27845" w14:paraId="539BA501" w14:textId="77777777">
        <w:trPr>
          <w:jc w:val="center"/>
        </w:trPr>
        <w:tc>
          <w:tcPr>
            <w:tcW w:w="1872" w:type="dxa"/>
          </w:tcPr>
          <w:p w14:paraId="188738A3" w14:textId="77777777" w:rsidR="00B27845" w:rsidRDefault="00000000">
            <w:pPr>
              <w:spacing w:line="240" w:lineRule="auto"/>
            </w:pPr>
            <w:r>
              <w:rPr>
                <w:sz w:val="20"/>
              </w:rPr>
              <w:t>5</w:t>
            </w:r>
          </w:p>
        </w:tc>
        <w:tc>
          <w:tcPr>
            <w:tcW w:w="1872" w:type="dxa"/>
          </w:tcPr>
          <w:p w14:paraId="16948163" w14:textId="1F299450" w:rsidR="00B27845" w:rsidRDefault="00000000">
            <w:pPr>
              <w:spacing w:line="240" w:lineRule="auto"/>
            </w:pPr>
            <w:r>
              <w:rPr>
                <w:sz w:val="20"/>
              </w:rPr>
              <w:t>1,</w:t>
            </w:r>
            <w:r w:rsidR="004C0CFC">
              <w:rPr>
                <w:sz w:val="20"/>
              </w:rPr>
              <w:t>00</w:t>
            </w:r>
            <w:r>
              <w:rPr>
                <w:sz w:val="20"/>
              </w:rPr>
              <w:t>0,000,000</w:t>
            </w:r>
          </w:p>
        </w:tc>
        <w:tc>
          <w:tcPr>
            <w:tcW w:w="1872" w:type="dxa"/>
          </w:tcPr>
          <w:p w14:paraId="5A3460F8" w14:textId="77777777" w:rsidR="00B27845" w:rsidRDefault="00000000">
            <w:pPr>
              <w:spacing w:line="240" w:lineRule="auto"/>
            </w:pPr>
            <w:r>
              <w:rPr>
                <w:sz w:val="20"/>
              </w:rPr>
              <w:t>100</w:t>
            </w:r>
          </w:p>
        </w:tc>
        <w:tc>
          <w:tcPr>
            <w:tcW w:w="1872" w:type="dxa"/>
          </w:tcPr>
          <w:p w14:paraId="2678F82A" w14:textId="4D2826FF" w:rsidR="00B27845" w:rsidRDefault="004C0CFC">
            <w:pPr>
              <w:spacing w:line="240" w:lineRule="auto"/>
            </w:pPr>
            <w:r>
              <w:rPr>
                <w:sz w:val="20"/>
              </w:rPr>
              <w:t>8</w:t>
            </w:r>
            <w:r w:rsidR="00000000">
              <w:rPr>
                <w:sz w:val="20"/>
              </w:rPr>
              <w:t>0</w:t>
            </w:r>
          </w:p>
        </w:tc>
        <w:tc>
          <w:tcPr>
            <w:tcW w:w="1872" w:type="dxa"/>
          </w:tcPr>
          <w:p w14:paraId="09D53695" w14:textId="77777777" w:rsidR="00B27845" w:rsidRDefault="00000000">
            <w:pPr>
              <w:spacing w:line="240" w:lineRule="auto"/>
            </w:pPr>
            <w:r>
              <w:rPr>
                <w:sz w:val="20"/>
              </w:rPr>
              <w:t>2,550,000,000</w:t>
            </w:r>
          </w:p>
        </w:tc>
      </w:tr>
      <w:tr w:rsidR="00B27845" w14:paraId="01752327" w14:textId="77777777">
        <w:trPr>
          <w:jc w:val="center"/>
        </w:trPr>
        <w:tc>
          <w:tcPr>
            <w:tcW w:w="1872" w:type="dxa"/>
          </w:tcPr>
          <w:p w14:paraId="1515FE05" w14:textId="77777777" w:rsidR="00B27845" w:rsidRDefault="00000000">
            <w:pPr>
              <w:spacing w:line="240" w:lineRule="auto"/>
            </w:pPr>
            <w:r>
              <w:rPr>
                <w:sz w:val="20"/>
              </w:rPr>
              <w:t>6</w:t>
            </w:r>
          </w:p>
        </w:tc>
        <w:tc>
          <w:tcPr>
            <w:tcW w:w="1872" w:type="dxa"/>
          </w:tcPr>
          <w:p w14:paraId="07BEB374" w14:textId="32175F59" w:rsidR="00B27845" w:rsidRDefault="00000000">
            <w:pPr>
              <w:spacing w:line="240" w:lineRule="auto"/>
            </w:pPr>
            <w:r>
              <w:rPr>
                <w:sz w:val="20"/>
              </w:rPr>
              <w:t>2,</w:t>
            </w:r>
            <w:r w:rsidR="004C0CFC">
              <w:rPr>
                <w:sz w:val="20"/>
              </w:rPr>
              <w:t>00</w:t>
            </w:r>
            <w:r>
              <w:rPr>
                <w:sz w:val="20"/>
              </w:rPr>
              <w:t>0,000,000</w:t>
            </w:r>
          </w:p>
        </w:tc>
        <w:tc>
          <w:tcPr>
            <w:tcW w:w="1872" w:type="dxa"/>
          </w:tcPr>
          <w:p w14:paraId="39F70E02" w14:textId="50CAB23E" w:rsidR="00B27845" w:rsidRDefault="004C0CFC">
            <w:pPr>
              <w:spacing w:line="240" w:lineRule="auto"/>
            </w:pPr>
            <w:r>
              <w:rPr>
                <w:sz w:val="20"/>
              </w:rPr>
              <w:t>8</w:t>
            </w:r>
            <w:r w:rsidR="00000000">
              <w:rPr>
                <w:sz w:val="20"/>
              </w:rPr>
              <w:t>0</w:t>
            </w:r>
          </w:p>
        </w:tc>
        <w:tc>
          <w:tcPr>
            <w:tcW w:w="1872" w:type="dxa"/>
          </w:tcPr>
          <w:p w14:paraId="55E1244A" w14:textId="23B9B5D5" w:rsidR="00B27845" w:rsidRDefault="004C0CFC">
            <w:pPr>
              <w:spacing w:line="240" w:lineRule="auto"/>
            </w:pPr>
            <w:r>
              <w:rPr>
                <w:sz w:val="20"/>
              </w:rPr>
              <w:t>4</w:t>
            </w:r>
            <w:r w:rsidR="00000000">
              <w:rPr>
                <w:sz w:val="20"/>
              </w:rPr>
              <w:t>0</w:t>
            </w:r>
          </w:p>
        </w:tc>
        <w:tc>
          <w:tcPr>
            <w:tcW w:w="1872" w:type="dxa"/>
          </w:tcPr>
          <w:p w14:paraId="393A0240" w14:textId="77777777" w:rsidR="00B27845" w:rsidRDefault="00000000">
            <w:pPr>
              <w:spacing w:line="240" w:lineRule="auto"/>
            </w:pPr>
            <w:r>
              <w:rPr>
                <w:sz w:val="20"/>
              </w:rPr>
              <w:t>5,000,000,000</w:t>
            </w:r>
          </w:p>
        </w:tc>
      </w:tr>
    </w:tbl>
    <w:p w14:paraId="05D230BD" w14:textId="77777777" w:rsidR="00B27845" w:rsidRDefault="00B27845"/>
    <w:p w14:paraId="6BA48485" w14:textId="77777777" w:rsidR="00B27845" w:rsidRDefault="00000000">
      <w:r>
        <w:t>Registration simultaneously credits the individual from the Participant Genesis Pool (580.25 billion GX) and their country's sovereign treasury from the Government Genesis Pool (160 billion GX). This dual-minting mechanism converts potential government opposition into a structural incentive for promotion.</w:t>
      </w:r>
    </w:p>
    <w:p w14:paraId="217CE10E" w14:textId="77777777" w:rsidR="00B27845" w:rsidRDefault="00000000">
      <w:pPr>
        <w:spacing w:before="240"/>
      </w:pPr>
      <w:r>
        <w:rPr>
          <w:b/>
          <w:sz w:val="24"/>
        </w:rPr>
        <w:t>5.5 Velocity Tax: Eliminating the Hoarding Trap and Replacing Conventional Taxation</w:t>
      </w:r>
    </w:p>
    <w:p w14:paraId="4ED29E8B" w14:textId="77777777" w:rsidR="00B27845" w:rsidRDefault="00000000">
      <w:r>
        <w:t>The velocity tax is the protocol's mechanism for discouraging wealth hoarding and funding public services without conventional taxation. Progressive annual rates apply to balances held above a GX 100 threshold for more than 360 accumulated days. Balances below GX 100 (approximately USD 12,000 at genesis rate) are permanently exempt.</w:t>
      </w:r>
    </w:p>
    <w:p w14:paraId="011906C7" w14:textId="77777777" w:rsidR="00B27845" w:rsidRDefault="00000000">
      <w:pPr>
        <w:spacing w:before="240" w:after="0"/>
      </w:pPr>
      <w:r>
        <w:rPr>
          <w:b/>
        </w:rPr>
        <w:t>Table 3</w:t>
      </w:r>
    </w:p>
    <w:p w14:paraId="3825B053" w14:textId="77777777" w:rsidR="00B27845" w:rsidRDefault="00000000">
      <w:r>
        <w:rPr>
          <w:i/>
        </w:rPr>
        <w:t>Velocity Tax Schedule</w:t>
      </w:r>
    </w:p>
    <w:tbl>
      <w:tblPr>
        <w:tblStyle w:val="TableGrid"/>
        <w:tblW w:w="0" w:type="auto"/>
        <w:jc w:val="center"/>
        <w:tblLook w:val="04A0" w:firstRow="1" w:lastRow="0" w:firstColumn="1" w:lastColumn="0" w:noHBand="0" w:noVBand="1"/>
      </w:tblPr>
      <w:tblGrid>
        <w:gridCol w:w="3120"/>
        <w:gridCol w:w="3120"/>
        <w:gridCol w:w="3120"/>
      </w:tblGrid>
      <w:tr w:rsidR="00B27845" w14:paraId="2CBEEBD4" w14:textId="77777777">
        <w:trPr>
          <w:jc w:val="center"/>
        </w:trPr>
        <w:tc>
          <w:tcPr>
            <w:tcW w:w="3120" w:type="dxa"/>
          </w:tcPr>
          <w:p w14:paraId="18EA2431" w14:textId="77777777" w:rsidR="00B27845" w:rsidRDefault="00000000">
            <w:pPr>
              <w:spacing w:line="240" w:lineRule="auto"/>
            </w:pPr>
            <w:r>
              <w:rPr>
                <w:b/>
                <w:sz w:val="20"/>
              </w:rPr>
              <w:t>Band</w:t>
            </w:r>
          </w:p>
        </w:tc>
        <w:tc>
          <w:tcPr>
            <w:tcW w:w="3120" w:type="dxa"/>
          </w:tcPr>
          <w:p w14:paraId="697B280A" w14:textId="77777777" w:rsidR="00B27845" w:rsidRDefault="00000000">
            <w:pPr>
              <w:spacing w:line="240" w:lineRule="auto"/>
            </w:pPr>
            <w:r>
              <w:rPr>
                <w:b/>
                <w:sz w:val="20"/>
              </w:rPr>
              <w:t>Balance Range</w:t>
            </w:r>
          </w:p>
        </w:tc>
        <w:tc>
          <w:tcPr>
            <w:tcW w:w="3120" w:type="dxa"/>
          </w:tcPr>
          <w:p w14:paraId="34BC0956" w14:textId="77777777" w:rsidR="00B27845" w:rsidRDefault="00000000">
            <w:pPr>
              <w:spacing w:line="240" w:lineRule="auto"/>
            </w:pPr>
            <w:r>
              <w:rPr>
                <w:b/>
                <w:sz w:val="20"/>
              </w:rPr>
              <w:t>Annual Rate</w:t>
            </w:r>
          </w:p>
        </w:tc>
      </w:tr>
      <w:tr w:rsidR="00B27845" w14:paraId="16A19841" w14:textId="77777777">
        <w:trPr>
          <w:jc w:val="center"/>
        </w:trPr>
        <w:tc>
          <w:tcPr>
            <w:tcW w:w="3120" w:type="dxa"/>
          </w:tcPr>
          <w:p w14:paraId="3369F7B6" w14:textId="77777777" w:rsidR="00B27845" w:rsidRDefault="00000000">
            <w:pPr>
              <w:spacing w:line="240" w:lineRule="auto"/>
            </w:pPr>
            <w:r>
              <w:rPr>
                <w:sz w:val="20"/>
              </w:rPr>
              <w:t>1</w:t>
            </w:r>
          </w:p>
        </w:tc>
        <w:tc>
          <w:tcPr>
            <w:tcW w:w="3120" w:type="dxa"/>
          </w:tcPr>
          <w:p w14:paraId="0350D6D7" w14:textId="77777777" w:rsidR="00B27845" w:rsidRDefault="00000000">
            <w:pPr>
              <w:spacing w:line="240" w:lineRule="auto"/>
            </w:pPr>
            <w:r>
              <w:rPr>
                <w:sz w:val="20"/>
              </w:rPr>
              <w:t>Below GX 100</w:t>
            </w:r>
          </w:p>
        </w:tc>
        <w:tc>
          <w:tcPr>
            <w:tcW w:w="3120" w:type="dxa"/>
          </w:tcPr>
          <w:p w14:paraId="4F4EA1CA" w14:textId="77777777" w:rsidR="00B27845" w:rsidRDefault="00000000">
            <w:pPr>
              <w:spacing w:line="240" w:lineRule="auto"/>
            </w:pPr>
            <w:r>
              <w:rPr>
                <w:sz w:val="20"/>
              </w:rPr>
              <w:t>0% (exempt)</w:t>
            </w:r>
          </w:p>
        </w:tc>
      </w:tr>
      <w:tr w:rsidR="00B27845" w14:paraId="30F75FED" w14:textId="77777777">
        <w:trPr>
          <w:jc w:val="center"/>
        </w:trPr>
        <w:tc>
          <w:tcPr>
            <w:tcW w:w="3120" w:type="dxa"/>
          </w:tcPr>
          <w:p w14:paraId="505AC63C" w14:textId="77777777" w:rsidR="00B27845" w:rsidRDefault="00000000">
            <w:pPr>
              <w:spacing w:line="240" w:lineRule="auto"/>
            </w:pPr>
            <w:r>
              <w:rPr>
                <w:sz w:val="20"/>
              </w:rPr>
              <w:t>2</w:t>
            </w:r>
          </w:p>
        </w:tc>
        <w:tc>
          <w:tcPr>
            <w:tcW w:w="3120" w:type="dxa"/>
          </w:tcPr>
          <w:p w14:paraId="4573D6B8" w14:textId="77777777" w:rsidR="00B27845" w:rsidRDefault="00000000">
            <w:pPr>
              <w:spacing w:line="240" w:lineRule="auto"/>
            </w:pPr>
            <w:r>
              <w:rPr>
                <w:sz w:val="20"/>
              </w:rPr>
              <w:t>GX 100 to 2,500</w:t>
            </w:r>
          </w:p>
        </w:tc>
        <w:tc>
          <w:tcPr>
            <w:tcW w:w="3120" w:type="dxa"/>
          </w:tcPr>
          <w:p w14:paraId="08013267" w14:textId="77777777" w:rsidR="00B27845" w:rsidRDefault="00000000">
            <w:pPr>
              <w:spacing w:line="240" w:lineRule="auto"/>
            </w:pPr>
            <w:r>
              <w:rPr>
                <w:sz w:val="20"/>
              </w:rPr>
              <w:t>2.50%</w:t>
            </w:r>
          </w:p>
        </w:tc>
      </w:tr>
      <w:tr w:rsidR="00B27845" w14:paraId="34DFE861" w14:textId="77777777">
        <w:trPr>
          <w:jc w:val="center"/>
        </w:trPr>
        <w:tc>
          <w:tcPr>
            <w:tcW w:w="3120" w:type="dxa"/>
          </w:tcPr>
          <w:p w14:paraId="1D27DE04" w14:textId="77777777" w:rsidR="00B27845" w:rsidRDefault="00000000">
            <w:pPr>
              <w:spacing w:line="240" w:lineRule="auto"/>
            </w:pPr>
            <w:r>
              <w:rPr>
                <w:sz w:val="20"/>
              </w:rPr>
              <w:lastRenderedPageBreak/>
              <w:t>3</w:t>
            </w:r>
          </w:p>
        </w:tc>
        <w:tc>
          <w:tcPr>
            <w:tcW w:w="3120" w:type="dxa"/>
          </w:tcPr>
          <w:p w14:paraId="1D7D0DE8" w14:textId="77777777" w:rsidR="00B27845" w:rsidRDefault="00000000">
            <w:pPr>
              <w:spacing w:line="240" w:lineRule="auto"/>
            </w:pPr>
            <w:r>
              <w:rPr>
                <w:sz w:val="20"/>
              </w:rPr>
              <w:t>GX 2,500 to 5,000</w:t>
            </w:r>
          </w:p>
        </w:tc>
        <w:tc>
          <w:tcPr>
            <w:tcW w:w="3120" w:type="dxa"/>
          </w:tcPr>
          <w:p w14:paraId="618B3793" w14:textId="77777777" w:rsidR="00B27845" w:rsidRDefault="00000000">
            <w:pPr>
              <w:spacing w:line="240" w:lineRule="auto"/>
            </w:pPr>
            <w:r>
              <w:rPr>
                <w:sz w:val="20"/>
              </w:rPr>
              <w:t>2.75%</w:t>
            </w:r>
          </w:p>
        </w:tc>
      </w:tr>
      <w:tr w:rsidR="00B27845" w14:paraId="053C593F" w14:textId="77777777">
        <w:trPr>
          <w:jc w:val="center"/>
        </w:trPr>
        <w:tc>
          <w:tcPr>
            <w:tcW w:w="3120" w:type="dxa"/>
          </w:tcPr>
          <w:p w14:paraId="0CE2B33F" w14:textId="77777777" w:rsidR="00B27845" w:rsidRDefault="00000000">
            <w:pPr>
              <w:spacing w:line="240" w:lineRule="auto"/>
            </w:pPr>
            <w:r>
              <w:rPr>
                <w:sz w:val="20"/>
              </w:rPr>
              <w:t>4</w:t>
            </w:r>
          </w:p>
        </w:tc>
        <w:tc>
          <w:tcPr>
            <w:tcW w:w="3120" w:type="dxa"/>
          </w:tcPr>
          <w:p w14:paraId="700341D7" w14:textId="77777777" w:rsidR="00B27845" w:rsidRDefault="00000000">
            <w:pPr>
              <w:spacing w:line="240" w:lineRule="auto"/>
            </w:pPr>
            <w:r>
              <w:rPr>
                <w:sz w:val="20"/>
              </w:rPr>
              <w:t>GX 5,000 to 10,000</w:t>
            </w:r>
          </w:p>
        </w:tc>
        <w:tc>
          <w:tcPr>
            <w:tcW w:w="3120" w:type="dxa"/>
          </w:tcPr>
          <w:p w14:paraId="4801B9A9" w14:textId="77777777" w:rsidR="00B27845" w:rsidRDefault="00000000">
            <w:pPr>
              <w:spacing w:line="240" w:lineRule="auto"/>
            </w:pPr>
            <w:r>
              <w:rPr>
                <w:sz w:val="20"/>
              </w:rPr>
              <w:t>3.00%</w:t>
            </w:r>
          </w:p>
        </w:tc>
      </w:tr>
      <w:tr w:rsidR="00B27845" w14:paraId="1C449147" w14:textId="77777777">
        <w:trPr>
          <w:jc w:val="center"/>
        </w:trPr>
        <w:tc>
          <w:tcPr>
            <w:tcW w:w="3120" w:type="dxa"/>
          </w:tcPr>
          <w:p w14:paraId="773878FC" w14:textId="77777777" w:rsidR="00B27845" w:rsidRDefault="00000000">
            <w:pPr>
              <w:spacing w:line="240" w:lineRule="auto"/>
            </w:pPr>
            <w:r>
              <w:rPr>
                <w:sz w:val="20"/>
              </w:rPr>
              <w:t>5</w:t>
            </w:r>
          </w:p>
        </w:tc>
        <w:tc>
          <w:tcPr>
            <w:tcW w:w="3120" w:type="dxa"/>
          </w:tcPr>
          <w:p w14:paraId="4C86571A" w14:textId="77777777" w:rsidR="00B27845" w:rsidRDefault="00000000">
            <w:pPr>
              <w:spacing w:line="240" w:lineRule="auto"/>
            </w:pPr>
            <w:r>
              <w:rPr>
                <w:sz w:val="20"/>
              </w:rPr>
              <w:t>GX 10,000 to 25,000</w:t>
            </w:r>
          </w:p>
        </w:tc>
        <w:tc>
          <w:tcPr>
            <w:tcW w:w="3120" w:type="dxa"/>
          </w:tcPr>
          <w:p w14:paraId="58C86E84" w14:textId="77777777" w:rsidR="00B27845" w:rsidRDefault="00000000">
            <w:pPr>
              <w:spacing w:line="240" w:lineRule="auto"/>
            </w:pPr>
            <w:r>
              <w:rPr>
                <w:sz w:val="20"/>
              </w:rPr>
              <w:t>3.50%</w:t>
            </w:r>
          </w:p>
        </w:tc>
      </w:tr>
      <w:tr w:rsidR="00B27845" w14:paraId="739DB753" w14:textId="77777777">
        <w:trPr>
          <w:jc w:val="center"/>
        </w:trPr>
        <w:tc>
          <w:tcPr>
            <w:tcW w:w="3120" w:type="dxa"/>
          </w:tcPr>
          <w:p w14:paraId="0D8603AC" w14:textId="77777777" w:rsidR="00B27845" w:rsidRDefault="00000000">
            <w:pPr>
              <w:spacing w:line="240" w:lineRule="auto"/>
            </w:pPr>
            <w:r>
              <w:rPr>
                <w:sz w:val="20"/>
              </w:rPr>
              <w:t>6</w:t>
            </w:r>
          </w:p>
        </w:tc>
        <w:tc>
          <w:tcPr>
            <w:tcW w:w="3120" w:type="dxa"/>
          </w:tcPr>
          <w:p w14:paraId="69479DC5" w14:textId="77777777" w:rsidR="00B27845" w:rsidRDefault="00000000">
            <w:pPr>
              <w:spacing w:line="240" w:lineRule="auto"/>
            </w:pPr>
            <w:r>
              <w:rPr>
                <w:sz w:val="20"/>
              </w:rPr>
              <w:t>GX 25,000 to 50,000</w:t>
            </w:r>
          </w:p>
        </w:tc>
        <w:tc>
          <w:tcPr>
            <w:tcW w:w="3120" w:type="dxa"/>
          </w:tcPr>
          <w:p w14:paraId="7B7C88EC" w14:textId="77777777" w:rsidR="00B27845" w:rsidRDefault="00000000">
            <w:pPr>
              <w:spacing w:line="240" w:lineRule="auto"/>
            </w:pPr>
            <w:r>
              <w:rPr>
                <w:sz w:val="20"/>
              </w:rPr>
              <w:t>4.00%</w:t>
            </w:r>
          </w:p>
        </w:tc>
      </w:tr>
      <w:tr w:rsidR="00B27845" w14:paraId="1688D4B9" w14:textId="77777777">
        <w:trPr>
          <w:jc w:val="center"/>
        </w:trPr>
        <w:tc>
          <w:tcPr>
            <w:tcW w:w="3120" w:type="dxa"/>
          </w:tcPr>
          <w:p w14:paraId="048ED315" w14:textId="77777777" w:rsidR="00B27845" w:rsidRDefault="00000000">
            <w:pPr>
              <w:spacing w:line="240" w:lineRule="auto"/>
            </w:pPr>
            <w:r>
              <w:rPr>
                <w:sz w:val="20"/>
              </w:rPr>
              <w:t>7</w:t>
            </w:r>
          </w:p>
        </w:tc>
        <w:tc>
          <w:tcPr>
            <w:tcW w:w="3120" w:type="dxa"/>
          </w:tcPr>
          <w:p w14:paraId="76447DB4" w14:textId="77777777" w:rsidR="00B27845" w:rsidRDefault="00000000">
            <w:pPr>
              <w:spacing w:line="240" w:lineRule="auto"/>
            </w:pPr>
            <w:r>
              <w:rPr>
                <w:sz w:val="20"/>
              </w:rPr>
              <w:t>GX 50,000 to 100,000</w:t>
            </w:r>
          </w:p>
        </w:tc>
        <w:tc>
          <w:tcPr>
            <w:tcW w:w="3120" w:type="dxa"/>
          </w:tcPr>
          <w:p w14:paraId="3C97619F" w14:textId="77777777" w:rsidR="00B27845" w:rsidRDefault="00000000">
            <w:pPr>
              <w:spacing w:line="240" w:lineRule="auto"/>
            </w:pPr>
            <w:r>
              <w:rPr>
                <w:sz w:val="20"/>
              </w:rPr>
              <w:t>4.50%</w:t>
            </w:r>
          </w:p>
        </w:tc>
      </w:tr>
      <w:tr w:rsidR="00B27845" w14:paraId="1D4A24AE" w14:textId="77777777">
        <w:trPr>
          <w:jc w:val="center"/>
        </w:trPr>
        <w:tc>
          <w:tcPr>
            <w:tcW w:w="3120" w:type="dxa"/>
          </w:tcPr>
          <w:p w14:paraId="1A558D62" w14:textId="77777777" w:rsidR="00B27845" w:rsidRDefault="00000000">
            <w:pPr>
              <w:spacing w:line="240" w:lineRule="auto"/>
            </w:pPr>
            <w:r>
              <w:rPr>
                <w:sz w:val="20"/>
              </w:rPr>
              <w:t>8</w:t>
            </w:r>
          </w:p>
        </w:tc>
        <w:tc>
          <w:tcPr>
            <w:tcW w:w="3120" w:type="dxa"/>
          </w:tcPr>
          <w:p w14:paraId="5F1DA9B6" w14:textId="77777777" w:rsidR="00B27845" w:rsidRDefault="00000000">
            <w:pPr>
              <w:spacing w:line="240" w:lineRule="auto"/>
            </w:pPr>
            <w:r>
              <w:rPr>
                <w:sz w:val="20"/>
              </w:rPr>
              <w:t>Above GX 100,000</w:t>
            </w:r>
          </w:p>
        </w:tc>
        <w:tc>
          <w:tcPr>
            <w:tcW w:w="3120" w:type="dxa"/>
          </w:tcPr>
          <w:p w14:paraId="1004A567" w14:textId="77777777" w:rsidR="00B27845" w:rsidRDefault="00000000">
            <w:pPr>
              <w:spacing w:line="240" w:lineRule="auto"/>
            </w:pPr>
            <w:r>
              <w:rPr>
                <w:sz w:val="20"/>
              </w:rPr>
              <w:t>5.00%</w:t>
            </w:r>
          </w:p>
        </w:tc>
      </w:tr>
    </w:tbl>
    <w:p w14:paraId="406DECE5" w14:textId="77777777" w:rsidR="00B27845" w:rsidRDefault="00B27845"/>
    <w:p w14:paraId="5425E42F" w14:textId="2CF3DD62" w:rsidR="00B27845" w:rsidRDefault="00000000">
      <w:r>
        <w:t>Collected velocity tax is distributed automatically: 40% to the participant's country's government treasury, 30% to the charitable pool, and 30% to the country's Universal Basic Income (UBI) pool. Every participant whose balance falls below GX 2</w:t>
      </w:r>
      <w:r w:rsidR="00DA5C4D">
        <w:t>4</w:t>
      </w:r>
      <w:r>
        <w:t xml:space="preserve"> receives a top-up to that threshold from the UBI pool, establishing a guaranteed minimum floor.</w:t>
      </w:r>
    </w:p>
    <w:p w14:paraId="4CAFB47E" w14:textId="77777777" w:rsidR="00B27845" w:rsidRDefault="00000000">
      <w:r>
        <w:t>The velocity tax achieves the same structural objectives as Friedman's (1962) Negative Income Tax (NIT): a guaranteed minimum income floor, elimination of welfare bureaucracy, and preservation of productive incentive. Both systems create a threshold below which the system gives rather than takes. Both are automatic, universal, and rule-based. The GX implementation advances beyond Friedman's proposal in three respects.</w:t>
      </w:r>
    </w:p>
    <w:p w14:paraId="0BAC2250" w14:textId="77777777" w:rsidR="00B27845" w:rsidRDefault="00000000">
      <w:pPr>
        <w:spacing w:before="240" w:after="0"/>
      </w:pPr>
      <w:r>
        <w:rPr>
          <w:b/>
        </w:rPr>
        <w:t>Table 4</w:t>
      </w:r>
    </w:p>
    <w:p w14:paraId="65AD170D" w14:textId="77777777" w:rsidR="00B27845" w:rsidRDefault="00000000">
      <w:r>
        <w:rPr>
          <w:i/>
        </w:rPr>
        <w:t>GX Velocity Tax and UBI Compared with Friedman's Negative Income Tax</w:t>
      </w:r>
    </w:p>
    <w:tbl>
      <w:tblPr>
        <w:tblStyle w:val="TableGrid"/>
        <w:tblW w:w="0" w:type="auto"/>
        <w:jc w:val="center"/>
        <w:tblLook w:val="04A0" w:firstRow="1" w:lastRow="0" w:firstColumn="1" w:lastColumn="0" w:noHBand="0" w:noVBand="1"/>
      </w:tblPr>
      <w:tblGrid>
        <w:gridCol w:w="3120"/>
        <w:gridCol w:w="3120"/>
        <w:gridCol w:w="3120"/>
      </w:tblGrid>
      <w:tr w:rsidR="00B27845" w14:paraId="1B03EDFD" w14:textId="77777777">
        <w:trPr>
          <w:jc w:val="center"/>
        </w:trPr>
        <w:tc>
          <w:tcPr>
            <w:tcW w:w="3120" w:type="dxa"/>
          </w:tcPr>
          <w:p w14:paraId="3C5A2C35" w14:textId="77777777" w:rsidR="00B27845" w:rsidRDefault="00000000">
            <w:pPr>
              <w:spacing w:line="240" w:lineRule="auto"/>
            </w:pPr>
            <w:r>
              <w:rPr>
                <w:b/>
                <w:sz w:val="20"/>
              </w:rPr>
              <w:t>Dimension</w:t>
            </w:r>
          </w:p>
        </w:tc>
        <w:tc>
          <w:tcPr>
            <w:tcW w:w="3120" w:type="dxa"/>
          </w:tcPr>
          <w:p w14:paraId="6A5EC8F7" w14:textId="77777777" w:rsidR="00B27845" w:rsidRDefault="00000000">
            <w:pPr>
              <w:spacing w:line="240" w:lineRule="auto"/>
            </w:pPr>
            <w:r>
              <w:rPr>
                <w:b/>
                <w:sz w:val="20"/>
              </w:rPr>
              <w:t>Friedman's NIT</w:t>
            </w:r>
          </w:p>
        </w:tc>
        <w:tc>
          <w:tcPr>
            <w:tcW w:w="3120" w:type="dxa"/>
          </w:tcPr>
          <w:p w14:paraId="51509228" w14:textId="77777777" w:rsidR="00B27845" w:rsidRDefault="00000000">
            <w:pPr>
              <w:spacing w:line="240" w:lineRule="auto"/>
            </w:pPr>
            <w:r>
              <w:rPr>
                <w:b/>
                <w:sz w:val="20"/>
              </w:rPr>
              <w:t>GX Velocity Tax + UBI</w:t>
            </w:r>
          </w:p>
        </w:tc>
      </w:tr>
      <w:tr w:rsidR="00B27845" w14:paraId="2556C911" w14:textId="77777777">
        <w:trPr>
          <w:jc w:val="center"/>
        </w:trPr>
        <w:tc>
          <w:tcPr>
            <w:tcW w:w="3120" w:type="dxa"/>
          </w:tcPr>
          <w:p w14:paraId="00CDB424" w14:textId="77777777" w:rsidR="00B27845" w:rsidRDefault="00000000">
            <w:pPr>
              <w:spacing w:line="240" w:lineRule="auto"/>
            </w:pPr>
            <w:r>
              <w:rPr>
                <w:sz w:val="20"/>
              </w:rPr>
              <w:t>What is taxed</w:t>
            </w:r>
          </w:p>
        </w:tc>
        <w:tc>
          <w:tcPr>
            <w:tcW w:w="3120" w:type="dxa"/>
          </w:tcPr>
          <w:p w14:paraId="6E848984" w14:textId="77777777" w:rsidR="00B27845" w:rsidRDefault="00000000">
            <w:pPr>
              <w:spacing w:line="240" w:lineRule="auto"/>
            </w:pPr>
            <w:r>
              <w:rPr>
                <w:sz w:val="20"/>
              </w:rPr>
              <w:t>Income (earnings)</w:t>
            </w:r>
          </w:p>
        </w:tc>
        <w:tc>
          <w:tcPr>
            <w:tcW w:w="3120" w:type="dxa"/>
          </w:tcPr>
          <w:p w14:paraId="6D9C6EE2" w14:textId="77777777" w:rsidR="00B27845" w:rsidRDefault="00000000">
            <w:pPr>
              <w:spacing w:line="240" w:lineRule="auto"/>
            </w:pPr>
            <w:r>
              <w:rPr>
                <w:sz w:val="20"/>
              </w:rPr>
              <w:t>Holdings over time (accumulated idle wealth)</w:t>
            </w:r>
          </w:p>
        </w:tc>
      </w:tr>
      <w:tr w:rsidR="00B27845" w14:paraId="2D71233B" w14:textId="77777777">
        <w:trPr>
          <w:jc w:val="center"/>
        </w:trPr>
        <w:tc>
          <w:tcPr>
            <w:tcW w:w="3120" w:type="dxa"/>
          </w:tcPr>
          <w:p w14:paraId="0D6C597C" w14:textId="77777777" w:rsidR="00B27845" w:rsidRDefault="00000000">
            <w:pPr>
              <w:spacing w:line="240" w:lineRule="auto"/>
            </w:pPr>
            <w:r>
              <w:rPr>
                <w:sz w:val="20"/>
              </w:rPr>
              <w:t>Tax distortion</w:t>
            </w:r>
          </w:p>
        </w:tc>
        <w:tc>
          <w:tcPr>
            <w:tcW w:w="3120" w:type="dxa"/>
          </w:tcPr>
          <w:p w14:paraId="10B1A864" w14:textId="77777777" w:rsidR="00B27845" w:rsidRDefault="00000000">
            <w:pPr>
              <w:spacing w:line="240" w:lineRule="auto"/>
            </w:pPr>
            <w:r>
              <w:rPr>
                <w:sz w:val="20"/>
              </w:rPr>
              <w:t>50% NIT rate reduces marginal benefit of earning</w:t>
            </w:r>
          </w:p>
        </w:tc>
        <w:tc>
          <w:tcPr>
            <w:tcW w:w="3120" w:type="dxa"/>
          </w:tcPr>
          <w:p w14:paraId="0A95BC9A" w14:textId="77777777" w:rsidR="00B27845" w:rsidRDefault="00000000">
            <w:pPr>
              <w:spacing w:line="240" w:lineRule="auto"/>
            </w:pPr>
            <w:r>
              <w:rPr>
                <w:sz w:val="20"/>
              </w:rPr>
              <w:t>No income tax at all; every payment received in full</w:t>
            </w:r>
          </w:p>
        </w:tc>
      </w:tr>
      <w:tr w:rsidR="00B27845" w14:paraId="728720CD" w14:textId="77777777">
        <w:trPr>
          <w:jc w:val="center"/>
        </w:trPr>
        <w:tc>
          <w:tcPr>
            <w:tcW w:w="3120" w:type="dxa"/>
          </w:tcPr>
          <w:p w14:paraId="68616C9E" w14:textId="77777777" w:rsidR="00B27845" w:rsidRDefault="00000000">
            <w:pPr>
              <w:spacing w:line="240" w:lineRule="auto"/>
            </w:pPr>
            <w:r>
              <w:rPr>
                <w:sz w:val="20"/>
              </w:rPr>
              <w:t>Administration</w:t>
            </w:r>
          </w:p>
        </w:tc>
        <w:tc>
          <w:tcPr>
            <w:tcW w:w="3120" w:type="dxa"/>
          </w:tcPr>
          <w:p w14:paraId="7C90CF99" w14:textId="77777777" w:rsidR="00B27845" w:rsidRDefault="00000000">
            <w:pPr>
              <w:spacing w:line="240" w:lineRule="auto"/>
            </w:pPr>
            <w:r>
              <w:rPr>
                <w:sz w:val="20"/>
              </w:rPr>
              <w:t>Requires IRS implementation</w:t>
            </w:r>
          </w:p>
        </w:tc>
        <w:tc>
          <w:tcPr>
            <w:tcW w:w="3120" w:type="dxa"/>
          </w:tcPr>
          <w:p w14:paraId="5A79177E" w14:textId="77777777" w:rsidR="00B27845" w:rsidRDefault="00000000">
            <w:pPr>
              <w:spacing w:line="240" w:lineRule="auto"/>
            </w:pPr>
            <w:r>
              <w:rPr>
                <w:sz w:val="20"/>
              </w:rPr>
              <w:t>Self-enforcing at the protocol level; zero administrative cost</w:t>
            </w:r>
          </w:p>
        </w:tc>
      </w:tr>
      <w:tr w:rsidR="00B27845" w14:paraId="36D62DD7" w14:textId="77777777">
        <w:trPr>
          <w:jc w:val="center"/>
        </w:trPr>
        <w:tc>
          <w:tcPr>
            <w:tcW w:w="3120" w:type="dxa"/>
          </w:tcPr>
          <w:p w14:paraId="4502451E" w14:textId="77777777" w:rsidR="00B27845" w:rsidRDefault="00000000">
            <w:pPr>
              <w:spacing w:line="240" w:lineRule="auto"/>
            </w:pPr>
            <w:r>
              <w:rPr>
                <w:sz w:val="20"/>
              </w:rPr>
              <w:t>Enforceability</w:t>
            </w:r>
          </w:p>
        </w:tc>
        <w:tc>
          <w:tcPr>
            <w:tcW w:w="3120" w:type="dxa"/>
          </w:tcPr>
          <w:p w14:paraId="0322786D" w14:textId="77777777" w:rsidR="00B27845" w:rsidRDefault="00000000">
            <w:pPr>
              <w:spacing w:line="240" w:lineRule="auto"/>
            </w:pPr>
            <w:r>
              <w:rPr>
                <w:sz w:val="20"/>
              </w:rPr>
              <w:t>Government trust required</w:t>
            </w:r>
          </w:p>
        </w:tc>
        <w:tc>
          <w:tcPr>
            <w:tcW w:w="3120" w:type="dxa"/>
          </w:tcPr>
          <w:p w14:paraId="5C72AFFC" w14:textId="77777777" w:rsidR="00B27845" w:rsidRDefault="00000000">
            <w:pPr>
              <w:spacing w:line="240" w:lineRule="auto"/>
            </w:pPr>
            <w:r>
              <w:rPr>
                <w:sz w:val="20"/>
              </w:rPr>
              <w:t>Code-enforced; evasion structurally impossible</w:t>
            </w:r>
          </w:p>
        </w:tc>
      </w:tr>
      <w:tr w:rsidR="00B27845" w14:paraId="2BB1384D" w14:textId="77777777">
        <w:trPr>
          <w:jc w:val="center"/>
        </w:trPr>
        <w:tc>
          <w:tcPr>
            <w:tcW w:w="3120" w:type="dxa"/>
          </w:tcPr>
          <w:p w14:paraId="51A97309" w14:textId="77777777" w:rsidR="00B27845" w:rsidRDefault="00000000">
            <w:pPr>
              <w:spacing w:line="240" w:lineRule="auto"/>
            </w:pPr>
            <w:r>
              <w:rPr>
                <w:sz w:val="20"/>
              </w:rPr>
              <w:t>System</w:t>
            </w:r>
          </w:p>
        </w:tc>
        <w:tc>
          <w:tcPr>
            <w:tcW w:w="3120" w:type="dxa"/>
          </w:tcPr>
          <w:p w14:paraId="6CAF099E" w14:textId="77777777" w:rsidR="00B27845" w:rsidRDefault="00000000">
            <w:pPr>
              <w:spacing w:line="240" w:lineRule="auto"/>
            </w:pPr>
            <w:r>
              <w:rPr>
                <w:sz w:val="20"/>
              </w:rPr>
              <w:t>Reform within fiat</w:t>
            </w:r>
          </w:p>
        </w:tc>
        <w:tc>
          <w:tcPr>
            <w:tcW w:w="3120" w:type="dxa"/>
          </w:tcPr>
          <w:p w14:paraId="1210DB14" w14:textId="77777777" w:rsidR="00B27845" w:rsidRDefault="00000000">
            <w:pPr>
              <w:spacing w:line="240" w:lineRule="auto"/>
            </w:pPr>
            <w:r>
              <w:rPr>
                <w:sz w:val="20"/>
              </w:rPr>
              <w:t>Independent monetary protocol</w:t>
            </w:r>
          </w:p>
        </w:tc>
      </w:tr>
      <w:tr w:rsidR="00B27845" w14:paraId="41146C79" w14:textId="77777777">
        <w:trPr>
          <w:jc w:val="center"/>
        </w:trPr>
        <w:tc>
          <w:tcPr>
            <w:tcW w:w="3120" w:type="dxa"/>
          </w:tcPr>
          <w:p w14:paraId="48C9B7FD" w14:textId="77777777" w:rsidR="00B27845" w:rsidRDefault="00000000">
            <w:pPr>
              <w:spacing w:line="240" w:lineRule="auto"/>
            </w:pPr>
            <w:r>
              <w:rPr>
                <w:sz w:val="20"/>
              </w:rPr>
              <w:t>Distribution</w:t>
            </w:r>
          </w:p>
        </w:tc>
        <w:tc>
          <w:tcPr>
            <w:tcW w:w="3120" w:type="dxa"/>
          </w:tcPr>
          <w:p w14:paraId="7DA452D4" w14:textId="77777777" w:rsidR="00B27845" w:rsidRDefault="00000000">
            <w:pPr>
              <w:spacing w:line="240" w:lineRule="auto"/>
            </w:pPr>
            <w:r>
              <w:rPr>
                <w:sz w:val="20"/>
              </w:rPr>
              <w:t>100% to individuals below threshold</w:t>
            </w:r>
          </w:p>
        </w:tc>
        <w:tc>
          <w:tcPr>
            <w:tcW w:w="3120" w:type="dxa"/>
          </w:tcPr>
          <w:p w14:paraId="240A7AC4" w14:textId="77777777" w:rsidR="00B27845" w:rsidRDefault="00000000">
            <w:pPr>
              <w:spacing w:line="240" w:lineRule="auto"/>
            </w:pPr>
            <w:r>
              <w:rPr>
                <w:sz w:val="20"/>
              </w:rPr>
              <w:t>40% government, 30% charity, 30% UBI</w:t>
            </w:r>
          </w:p>
        </w:tc>
      </w:tr>
      <w:tr w:rsidR="00B27845" w14:paraId="64940120" w14:textId="77777777">
        <w:trPr>
          <w:jc w:val="center"/>
        </w:trPr>
        <w:tc>
          <w:tcPr>
            <w:tcW w:w="3120" w:type="dxa"/>
          </w:tcPr>
          <w:p w14:paraId="47922B6F" w14:textId="77777777" w:rsidR="00B27845" w:rsidRDefault="00000000">
            <w:pPr>
              <w:spacing w:line="240" w:lineRule="auto"/>
            </w:pPr>
            <w:r>
              <w:rPr>
                <w:sz w:val="20"/>
              </w:rPr>
              <w:t>Work incentive</w:t>
            </w:r>
          </w:p>
        </w:tc>
        <w:tc>
          <w:tcPr>
            <w:tcW w:w="3120" w:type="dxa"/>
          </w:tcPr>
          <w:p w14:paraId="4D99141F" w14:textId="77777777" w:rsidR="00B27845" w:rsidRDefault="00000000">
            <w:pPr>
              <w:spacing w:line="240" w:lineRule="auto"/>
            </w:pPr>
            <w:r>
              <w:rPr>
                <w:sz w:val="20"/>
              </w:rPr>
              <w:t>Preserved but partially attenuated by NIT rate</w:t>
            </w:r>
          </w:p>
        </w:tc>
        <w:tc>
          <w:tcPr>
            <w:tcW w:w="3120" w:type="dxa"/>
          </w:tcPr>
          <w:p w14:paraId="04A5B817" w14:textId="77777777" w:rsidR="00B27845" w:rsidRDefault="00000000">
            <w:pPr>
              <w:spacing w:line="240" w:lineRule="auto"/>
            </w:pPr>
            <w:r>
              <w:rPr>
                <w:sz w:val="20"/>
              </w:rPr>
              <w:t>Fully undistorted; no tax on earnings</w:t>
            </w:r>
          </w:p>
        </w:tc>
      </w:tr>
    </w:tbl>
    <w:p w14:paraId="1CFC205D" w14:textId="77777777" w:rsidR="00B27845" w:rsidRDefault="00B27845"/>
    <w:p w14:paraId="0F724D4E" w14:textId="50A9B4F7" w:rsidR="00B27845" w:rsidRDefault="00000000">
      <w:r>
        <w:t xml:space="preserve">Within the protocol, there is no income tax, no payroll tax, no sales tax, and no value-added tax. Every payment a participant receives is received in full. The total tax burden within the GX system (velocity tax </w:t>
      </w:r>
      <w:r>
        <w:lastRenderedPageBreak/>
        <w:t xml:space="preserve">only, at </w:t>
      </w:r>
      <w:r w:rsidR="00DA5C4D">
        <w:t>3.0%</w:t>
      </w:r>
      <w:r>
        <w:t xml:space="preserve"> to </w:t>
      </w:r>
      <w:r w:rsidR="00DA5C4D">
        <w:t>6</w:t>
      </w:r>
      <w:r>
        <w:t>.0%) is substantially lower than any conventional jurisdiction, where effective tax burdens commonly exceed 50% when income, payroll, consumption, and property taxes are combined.</w:t>
      </w:r>
    </w:p>
    <w:p w14:paraId="2F0C61AF" w14:textId="77777777" w:rsidR="00B27845" w:rsidRDefault="00000000">
      <w:pPr>
        <w:spacing w:before="240"/>
      </w:pPr>
      <w:r>
        <w:rPr>
          <w:b/>
          <w:sz w:val="24"/>
        </w:rPr>
        <w:t>5.6 Rules-Based Governance: Eliminating Discretionary Policy</w:t>
      </w:r>
    </w:p>
    <w:p w14:paraId="090C40D5" w14:textId="77777777" w:rsidR="00B27845" w:rsidRDefault="00000000">
      <w:r>
        <w:t>The protocol replaces discretionary monetary policy with deterministic, transparent rules. Supply is fixed. Velocity tax rates are defined. Distribution schedules are predetermined. No individual or committee can alter these parameters unilaterally.</w:t>
      </w:r>
    </w:p>
    <w:p w14:paraId="361FDF15" w14:textId="77777777" w:rsidR="00B27845" w:rsidRDefault="00000000">
      <w:r>
        <w:t>During a 25-year foundational period, a stewardship team oversees calibration of non-core parameters (transaction fee rates, velocity tax bands, loan criteria) while the fundamental rules (fixed supply, gold reference, interest-free operations) remain immutable. After 25 years, governance transitions to a two-step participant-driven process: a consensus vote by verified participants followed by a technical evaluation and validator supermajority vote (75-80% threshold).</w:t>
      </w:r>
    </w:p>
    <w:p w14:paraId="7FBDE8D7" w14:textId="77777777" w:rsidR="00B27845" w:rsidRDefault="00000000">
      <w:r>
        <w:t>This implements the principle that Friedman (1962) articulated with his k-percent rule: rules-based monetary governance is more predictable, more equitable, and less vulnerable to manipulation than discretionary human judgement, even expert human judgement. The 2008 financial crisis, the 2020 inflation spike following COVID-era monetary expansion, and recurring currency crises in developing nations provide empirical evidence that discretionary monetary policy produces suboptimal outcomes with regularity.</w:t>
      </w:r>
    </w:p>
    <w:p w14:paraId="339A737F" w14:textId="77777777" w:rsidR="00B27845" w:rsidRDefault="00000000">
      <w:pPr>
        <w:spacing w:before="240"/>
      </w:pPr>
      <w:r>
        <w:rPr>
          <w:b/>
          <w:sz w:val="24"/>
        </w:rPr>
        <w:t>5.7 Identity Architecture: Eliminating Pseudonymity Failures</w:t>
      </w:r>
    </w:p>
    <w:p w14:paraId="474D9E7C" w14:textId="77777777" w:rsidR="00B27845" w:rsidRDefault="00000000">
      <w:r>
        <w:t>The protocol mandates Know Your Customer (KYC) and Know Your Relationship (KYR) verification at the protocol level. Every participant must complete identity verification. One Person, One Account is enforced through biometric hash, national ID hash, and unique contact information.</w:t>
      </w:r>
    </w:p>
    <w:p w14:paraId="07C5E29A" w14:textId="77777777" w:rsidR="00B27845" w:rsidRDefault="00000000">
      <w:r>
        <w:t>KYR extends beyond standard KYC by requiring participants to verify their social relationships (family members, business associates). This creates an interconnected social graph where fabricating a single identity is straightforward, but fabricating a credible network of identities with cross-referenced relationships is exponentially harder, making large-scale grant fraud economically impractical.</w:t>
      </w:r>
    </w:p>
    <w:p w14:paraId="4D92E278" w14:textId="77777777" w:rsidR="00B27845" w:rsidRDefault="00000000">
      <w:r>
        <w:t>Identity verification enables two capabilities impossible in pseudonymous systems: account recovery (lost cryptographic keys do not mean permanently lost funds, unlike Bitcoin's estimated 3 to 4 million irrecoverable coins) and inheritance (protocol-level distribution of deceased participants' balances to verified heirs through KYR records).</w:t>
      </w:r>
    </w:p>
    <w:p w14:paraId="4F7DC0B5" w14:textId="77777777" w:rsidR="00DA5C4D" w:rsidRDefault="00DA5C4D">
      <w:pPr>
        <w:spacing w:after="200" w:line="276" w:lineRule="auto"/>
        <w:rPr>
          <w:b/>
        </w:rPr>
      </w:pPr>
      <w:r>
        <w:rPr>
          <w:b/>
        </w:rPr>
        <w:br w:type="page"/>
      </w:r>
    </w:p>
    <w:p w14:paraId="1706FC19" w14:textId="19904A44" w:rsidR="00B27845" w:rsidRDefault="00000000">
      <w:pPr>
        <w:spacing w:before="240" w:after="0"/>
      </w:pPr>
      <w:r>
        <w:rPr>
          <w:b/>
        </w:rPr>
        <w:lastRenderedPageBreak/>
        <w:t>Figure 2</w:t>
      </w:r>
    </w:p>
    <w:p w14:paraId="02021125" w14:textId="77777777" w:rsidR="00B27845" w:rsidRDefault="00000000">
      <w:r>
        <w:rPr>
          <w:i/>
        </w:rPr>
        <w:t>GX Protocol Architecture</w:t>
      </w:r>
    </w:p>
    <w:tbl>
      <w:tblPr>
        <w:tblStyle w:val="TableGrid"/>
        <w:tblW w:w="0" w:type="auto"/>
        <w:jc w:val="center"/>
        <w:tblLook w:val="04A0" w:firstRow="1" w:lastRow="0" w:firstColumn="1" w:lastColumn="0" w:noHBand="0" w:noVBand="1"/>
      </w:tblPr>
      <w:tblGrid>
        <w:gridCol w:w="3120"/>
        <w:gridCol w:w="3120"/>
        <w:gridCol w:w="3120"/>
      </w:tblGrid>
      <w:tr w:rsidR="00B27845" w14:paraId="0203C655" w14:textId="77777777">
        <w:trPr>
          <w:jc w:val="center"/>
        </w:trPr>
        <w:tc>
          <w:tcPr>
            <w:tcW w:w="3120" w:type="dxa"/>
          </w:tcPr>
          <w:p w14:paraId="2458658D" w14:textId="77777777" w:rsidR="00B27845" w:rsidRDefault="00000000">
            <w:pPr>
              <w:spacing w:line="240" w:lineRule="auto"/>
            </w:pPr>
            <w:r>
              <w:rPr>
                <w:b/>
                <w:sz w:val="20"/>
              </w:rPr>
              <w:t>Component</w:t>
            </w:r>
          </w:p>
        </w:tc>
        <w:tc>
          <w:tcPr>
            <w:tcW w:w="3120" w:type="dxa"/>
          </w:tcPr>
          <w:p w14:paraId="6E3C9309" w14:textId="77777777" w:rsidR="00B27845" w:rsidRDefault="00000000">
            <w:pPr>
              <w:spacing w:line="240" w:lineRule="auto"/>
            </w:pPr>
            <w:r>
              <w:rPr>
                <w:b/>
                <w:sz w:val="20"/>
              </w:rPr>
              <w:t>Function</w:t>
            </w:r>
          </w:p>
        </w:tc>
        <w:tc>
          <w:tcPr>
            <w:tcW w:w="3120" w:type="dxa"/>
          </w:tcPr>
          <w:p w14:paraId="24E1B5AF" w14:textId="77777777" w:rsidR="00B27845" w:rsidRDefault="00000000">
            <w:pPr>
              <w:spacing w:line="240" w:lineRule="auto"/>
            </w:pPr>
            <w:r>
              <w:rPr>
                <w:b/>
                <w:sz w:val="20"/>
              </w:rPr>
              <w:t>Problem Addressed</w:t>
            </w:r>
          </w:p>
        </w:tc>
      </w:tr>
      <w:tr w:rsidR="00B27845" w14:paraId="277FAE2A" w14:textId="77777777">
        <w:trPr>
          <w:jc w:val="center"/>
        </w:trPr>
        <w:tc>
          <w:tcPr>
            <w:tcW w:w="3120" w:type="dxa"/>
          </w:tcPr>
          <w:p w14:paraId="65DC507E" w14:textId="77777777" w:rsidR="00B27845" w:rsidRDefault="00000000">
            <w:pPr>
              <w:spacing w:line="240" w:lineRule="auto"/>
            </w:pPr>
            <w:r>
              <w:rPr>
                <w:sz w:val="20"/>
              </w:rPr>
              <w:t>Fixed supply (1.25T GX)</w:t>
            </w:r>
          </w:p>
        </w:tc>
        <w:tc>
          <w:tcPr>
            <w:tcW w:w="3120" w:type="dxa"/>
          </w:tcPr>
          <w:p w14:paraId="5008D2A8" w14:textId="77777777" w:rsidR="00B27845" w:rsidRDefault="00000000">
            <w:pPr>
              <w:spacing w:line="240" w:lineRule="auto"/>
            </w:pPr>
            <w:r>
              <w:rPr>
                <w:sz w:val="20"/>
              </w:rPr>
              <w:t>Eliminates inflationary debasement</w:t>
            </w:r>
          </w:p>
        </w:tc>
        <w:tc>
          <w:tcPr>
            <w:tcW w:w="3120" w:type="dxa"/>
          </w:tcPr>
          <w:p w14:paraId="7D86628D" w14:textId="77777777" w:rsidR="00B27845" w:rsidRDefault="00000000">
            <w:pPr>
              <w:spacing w:line="240" w:lineRule="auto"/>
            </w:pPr>
            <w:r>
              <w:rPr>
                <w:sz w:val="20"/>
              </w:rPr>
              <w:t>Purchasing power erosion (Section 4.2)</w:t>
            </w:r>
          </w:p>
        </w:tc>
      </w:tr>
      <w:tr w:rsidR="00B27845" w14:paraId="1188E5C8" w14:textId="77777777">
        <w:trPr>
          <w:jc w:val="center"/>
        </w:trPr>
        <w:tc>
          <w:tcPr>
            <w:tcW w:w="3120" w:type="dxa"/>
          </w:tcPr>
          <w:p w14:paraId="68494D4F" w14:textId="77777777" w:rsidR="00B27845" w:rsidRDefault="00000000">
            <w:pPr>
              <w:spacing w:line="240" w:lineRule="auto"/>
            </w:pPr>
            <w:r>
              <w:rPr>
                <w:sz w:val="20"/>
              </w:rPr>
              <w:t>Gold reference (1 GX = 1g gold at genesis)</w:t>
            </w:r>
          </w:p>
        </w:tc>
        <w:tc>
          <w:tcPr>
            <w:tcW w:w="3120" w:type="dxa"/>
          </w:tcPr>
          <w:p w14:paraId="5F27B78C" w14:textId="77777777" w:rsidR="00B27845" w:rsidRDefault="00000000">
            <w:pPr>
              <w:spacing w:line="240" w:lineRule="auto"/>
            </w:pPr>
            <w:r>
              <w:rPr>
                <w:sz w:val="20"/>
              </w:rPr>
              <w:t>Provides stable, universal value anchor</w:t>
            </w:r>
          </w:p>
        </w:tc>
        <w:tc>
          <w:tcPr>
            <w:tcW w:w="3120" w:type="dxa"/>
          </w:tcPr>
          <w:p w14:paraId="11B96CA0" w14:textId="77777777" w:rsidR="00B27845" w:rsidRDefault="00000000">
            <w:pPr>
              <w:spacing w:line="240" w:lineRule="auto"/>
            </w:pPr>
            <w:r>
              <w:rPr>
                <w:sz w:val="20"/>
              </w:rPr>
              <w:t>Arbitrary fiat valuation</w:t>
            </w:r>
          </w:p>
        </w:tc>
      </w:tr>
      <w:tr w:rsidR="00B27845" w14:paraId="254D139C" w14:textId="77777777">
        <w:trPr>
          <w:jc w:val="center"/>
        </w:trPr>
        <w:tc>
          <w:tcPr>
            <w:tcW w:w="3120" w:type="dxa"/>
          </w:tcPr>
          <w:p w14:paraId="4BE3F136" w14:textId="35179C69" w:rsidR="00B27845" w:rsidRDefault="00000000">
            <w:pPr>
              <w:spacing w:line="240" w:lineRule="auto"/>
            </w:pPr>
            <w:r>
              <w:rPr>
                <w:sz w:val="20"/>
              </w:rPr>
              <w:t>Interest-free Loan Pool (</w:t>
            </w:r>
            <w:r w:rsidR="00DA5C4D">
              <w:rPr>
                <w:sz w:val="20"/>
              </w:rPr>
              <w:t>25</w:t>
            </w:r>
            <w:r>
              <w:rPr>
                <w:sz w:val="20"/>
              </w:rPr>
              <w:t>0B GX)</w:t>
            </w:r>
          </w:p>
        </w:tc>
        <w:tc>
          <w:tcPr>
            <w:tcW w:w="3120" w:type="dxa"/>
          </w:tcPr>
          <w:p w14:paraId="02A9905E" w14:textId="77777777" w:rsidR="00B27845" w:rsidRDefault="00000000">
            <w:pPr>
              <w:spacing w:line="240" w:lineRule="auto"/>
            </w:pPr>
            <w:r>
              <w:rPr>
                <w:sz w:val="20"/>
              </w:rPr>
              <w:t>Eliminates debt spiral; profit-sharing alignment</w:t>
            </w:r>
          </w:p>
        </w:tc>
        <w:tc>
          <w:tcPr>
            <w:tcW w:w="3120" w:type="dxa"/>
          </w:tcPr>
          <w:p w14:paraId="3E142144" w14:textId="77777777" w:rsidR="00B27845" w:rsidRDefault="00000000">
            <w:pPr>
              <w:spacing w:line="240" w:lineRule="auto"/>
            </w:pPr>
            <w:r>
              <w:rPr>
                <w:sz w:val="20"/>
              </w:rPr>
              <w:t>Mathematical impossibility of interest (Section 4.1)</w:t>
            </w:r>
          </w:p>
        </w:tc>
      </w:tr>
      <w:tr w:rsidR="00B27845" w14:paraId="70CC04D5" w14:textId="77777777">
        <w:trPr>
          <w:jc w:val="center"/>
        </w:trPr>
        <w:tc>
          <w:tcPr>
            <w:tcW w:w="3120" w:type="dxa"/>
          </w:tcPr>
          <w:p w14:paraId="18F6135A" w14:textId="77777777" w:rsidR="00B27845" w:rsidRDefault="00000000">
            <w:pPr>
              <w:spacing w:line="240" w:lineRule="auto"/>
            </w:pPr>
            <w:r>
              <w:rPr>
                <w:sz w:val="20"/>
              </w:rPr>
              <w:t>Grant distribution (6 phases, 5B people)</w:t>
            </w:r>
          </w:p>
        </w:tc>
        <w:tc>
          <w:tcPr>
            <w:tcW w:w="3120" w:type="dxa"/>
          </w:tcPr>
          <w:p w14:paraId="335128B5" w14:textId="77777777" w:rsidR="00B27845" w:rsidRDefault="00000000">
            <w:pPr>
              <w:spacing w:line="240" w:lineRule="auto"/>
            </w:pPr>
            <w:r>
              <w:rPr>
                <w:sz w:val="20"/>
              </w:rPr>
              <w:t>Distributes purchasing power before requiring people to earn it</w:t>
            </w:r>
          </w:p>
        </w:tc>
        <w:tc>
          <w:tcPr>
            <w:tcW w:w="3120" w:type="dxa"/>
          </w:tcPr>
          <w:p w14:paraId="4B936665" w14:textId="77777777" w:rsidR="00B27845" w:rsidRDefault="00000000">
            <w:pPr>
              <w:spacing w:line="240" w:lineRule="auto"/>
            </w:pPr>
            <w:r>
              <w:rPr>
                <w:sz w:val="20"/>
              </w:rPr>
              <w:t>Financial exclusion (Section 4.3)</w:t>
            </w:r>
          </w:p>
        </w:tc>
      </w:tr>
      <w:tr w:rsidR="00B27845" w14:paraId="08F28378" w14:textId="77777777">
        <w:trPr>
          <w:jc w:val="center"/>
        </w:trPr>
        <w:tc>
          <w:tcPr>
            <w:tcW w:w="3120" w:type="dxa"/>
          </w:tcPr>
          <w:p w14:paraId="5DE25EE8" w14:textId="1362615B" w:rsidR="00B27845" w:rsidRDefault="00000000">
            <w:pPr>
              <w:spacing w:line="240" w:lineRule="auto"/>
            </w:pPr>
            <w:r>
              <w:rPr>
                <w:sz w:val="20"/>
              </w:rPr>
              <w:t>Velocity tax (</w:t>
            </w:r>
            <w:r w:rsidR="00DA5C4D">
              <w:rPr>
                <w:sz w:val="20"/>
              </w:rPr>
              <w:t>3</w:t>
            </w:r>
            <w:r>
              <w:rPr>
                <w:sz w:val="20"/>
              </w:rPr>
              <w:t>.</w:t>
            </w:r>
            <w:r w:rsidR="00DA5C4D">
              <w:rPr>
                <w:sz w:val="20"/>
              </w:rPr>
              <w:t>0</w:t>
            </w:r>
            <w:r>
              <w:rPr>
                <w:sz w:val="20"/>
              </w:rPr>
              <w:t>-</w:t>
            </w:r>
            <w:r w:rsidR="00DA5C4D">
              <w:rPr>
                <w:sz w:val="20"/>
              </w:rPr>
              <w:t>6</w:t>
            </w:r>
            <w:r>
              <w:rPr>
                <w:sz w:val="20"/>
              </w:rPr>
              <w:t>.0%, 40/30/30 split)</w:t>
            </w:r>
          </w:p>
        </w:tc>
        <w:tc>
          <w:tcPr>
            <w:tcW w:w="3120" w:type="dxa"/>
          </w:tcPr>
          <w:p w14:paraId="505FCA1D" w14:textId="77777777" w:rsidR="00B27845" w:rsidRDefault="00000000">
            <w:pPr>
              <w:spacing w:line="240" w:lineRule="auto"/>
            </w:pPr>
            <w:r>
              <w:rPr>
                <w:sz w:val="20"/>
              </w:rPr>
              <w:t>Discourages hoarding; funds government, charity, UBI</w:t>
            </w:r>
          </w:p>
        </w:tc>
        <w:tc>
          <w:tcPr>
            <w:tcW w:w="3120" w:type="dxa"/>
          </w:tcPr>
          <w:p w14:paraId="05D9A097" w14:textId="77777777" w:rsidR="00B27845" w:rsidRDefault="00000000">
            <w:pPr>
              <w:spacing w:line="240" w:lineRule="auto"/>
            </w:pPr>
            <w:r>
              <w:rPr>
                <w:sz w:val="20"/>
              </w:rPr>
              <w:t>Wealth concentration; public finance</w:t>
            </w:r>
          </w:p>
        </w:tc>
      </w:tr>
      <w:tr w:rsidR="00B27845" w14:paraId="631D6BA1" w14:textId="77777777">
        <w:trPr>
          <w:jc w:val="center"/>
        </w:trPr>
        <w:tc>
          <w:tcPr>
            <w:tcW w:w="3120" w:type="dxa"/>
          </w:tcPr>
          <w:p w14:paraId="5AAA586D" w14:textId="77777777" w:rsidR="00B27845" w:rsidRDefault="00000000">
            <w:pPr>
              <w:spacing w:line="240" w:lineRule="auto"/>
            </w:pPr>
            <w:r>
              <w:rPr>
                <w:sz w:val="20"/>
              </w:rPr>
              <w:t>Rules-based governance (25-year stewardship)</w:t>
            </w:r>
          </w:p>
        </w:tc>
        <w:tc>
          <w:tcPr>
            <w:tcW w:w="3120" w:type="dxa"/>
          </w:tcPr>
          <w:p w14:paraId="540F3286" w14:textId="77777777" w:rsidR="00B27845" w:rsidRDefault="00000000">
            <w:pPr>
              <w:spacing w:line="240" w:lineRule="auto"/>
            </w:pPr>
            <w:r>
              <w:rPr>
                <w:sz w:val="20"/>
              </w:rPr>
              <w:t>Replaces discretionary policy with transparent rules</w:t>
            </w:r>
          </w:p>
        </w:tc>
        <w:tc>
          <w:tcPr>
            <w:tcW w:w="3120" w:type="dxa"/>
          </w:tcPr>
          <w:p w14:paraId="66123238" w14:textId="77777777" w:rsidR="00B27845" w:rsidRDefault="00000000">
            <w:pPr>
              <w:spacing w:line="240" w:lineRule="auto"/>
            </w:pPr>
            <w:r>
              <w:rPr>
                <w:sz w:val="20"/>
              </w:rPr>
              <w:t>Policy manipulation (Section 4.2)</w:t>
            </w:r>
          </w:p>
        </w:tc>
      </w:tr>
      <w:tr w:rsidR="00B27845" w14:paraId="168AD8EB" w14:textId="77777777">
        <w:trPr>
          <w:jc w:val="center"/>
        </w:trPr>
        <w:tc>
          <w:tcPr>
            <w:tcW w:w="3120" w:type="dxa"/>
          </w:tcPr>
          <w:p w14:paraId="7AB6DECB" w14:textId="77777777" w:rsidR="00B27845" w:rsidRDefault="00000000">
            <w:pPr>
              <w:spacing w:line="240" w:lineRule="auto"/>
            </w:pPr>
            <w:r>
              <w:rPr>
                <w:sz w:val="20"/>
              </w:rPr>
              <w:t>KYC/KYR identity architecture</w:t>
            </w:r>
          </w:p>
        </w:tc>
        <w:tc>
          <w:tcPr>
            <w:tcW w:w="3120" w:type="dxa"/>
          </w:tcPr>
          <w:p w14:paraId="548E13BF" w14:textId="77777777" w:rsidR="00B27845" w:rsidRDefault="00000000">
            <w:pPr>
              <w:spacing w:line="240" w:lineRule="auto"/>
            </w:pPr>
            <w:r>
              <w:rPr>
                <w:sz w:val="20"/>
              </w:rPr>
              <w:t>Enables recovery, inheritance; deters fraud</w:t>
            </w:r>
          </w:p>
        </w:tc>
        <w:tc>
          <w:tcPr>
            <w:tcW w:w="3120" w:type="dxa"/>
          </w:tcPr>
          <w:p w14:paraId="699865EB" w14:textId="77777777" w:rsidR="00B27845" w:rsidRDefault="00000000">
            <w:pPr>
              <w:spacing w:line="240" w:lineRule="auto"/>
            </w:pPr>
            <w:r>
              <w:rPr>
                <w:sz w:val="20"/>
              </w:rPr>
              <w:t>Pseudonymity failures (Section 4.4)</w:t>
            </w:r>
          </w:p>
        </w:tc>
      </w:tr>
    </w:tbl>
    <w:p w14:paraId="67B05C1A" w14:textId="77777777" w:rsidR="00B27845" w:rsidRDefault="00B27845"/>
    <w:p w14:paraId="73CA3C24" w14:textId="77777777" w:rsidR="00B27845" w:rsidRDefault="00000000">
      <w:pPr>
        <w:spacing w:before="360"/>
      </w:pPr>
      <w:r>
        <w:rPr>
          <w:b/>
          <w:sz w:val="26"/>
        </w:rPr>
        <w:t>6. Evaluation: Seven Criteria for Sound Money</w:t>
      </w:r>
    </w:p>
    <w:p w14:paraId="30722418" w14:textId="77777777" w:rsidR="00B27845" w:rsidRDefault="00000000">
      <w:pPr>
        <w:spacing w:before="240"/>
      </w:pPr>
      <w:r>
        <w:rPr>
          <w:b/>
          <w:sz w:val="24"/>
        </w:rPr>
        <w:t>6.1 Derivation of Seven Soundness Criteria</w:t>
      </w:r>
    </w:p>
    <w:p w14:paraId="25DF7FAB" w14:textId="77777777" w:rsidR="00B27845" w:rsidRDefault="00000000">
      <w:r>
        <w:t>What makes money sound? The question predates modern economics. Aristotle (Politics, Book I) distinguished natural exchange (where money facilitates trade in goods of genuine utility) from unnatural chrematistics (where money becomes an end in itself, accumulating without limit). Jevons (1875) identified the essential functions and properties of money: a medium of exchange, a measure of value, a standard of deferred payment, and a store of value, each requiring specific material properties of the monetary medium. Menger (1892) analysed the spontaneous emergence of money, demonstrating that commodities become monetary media not by decree but by possessing characteristics that make them superior instruments for indirect exchange.</w:t>
      </w:r>
    </w:p>
    <w:p w14:paraId="0A317986" w14:textId="77777777" w:rsidR="00B27845" w:rsidRDefault="00000000">
      <w:r>
        <w:t>Synthesising these analyses, seven criteria emerge that historically successful monetary media, gold, silver, and commodity monies, share. These criteria explain why these specific commodities functioned as money across diverse cultures and centuries, while other commodities did not:</w:t>
      </w:r>
    </w:p>
    <w:p w14:paraId="270FB836" w14:textId="77777777" w:rsidR="00B27845" w:rsidRDefault="00000000">
      <w:pPr>
        <w:ind w:left="720" w:hanging="357"/>
      </w:pPr>
      <w:r>
        <w:t xml:space="preserve">1. </w:t>
      </w:r>
      <w:r>
        <w:rPr>
          <w:b/>
        </w:rPr>
        <w:t>Fungibility.</w:t>
      </w:r>
      <w:r>
        <w:t xml:space="preserve"> Any given unit can be substituted for another of equal denomination without loss of value, and this equivalence holds across time, not merely at the moment of issuance.</w:t>
      </w:r>
    </w:p>
    <w:p w14:paraId="211AC1BE" w14:textId="77777777" w:rsidR="00B27845" w:rsidRDefault="00000000">
      <w:pPr>
        <w:ind w:left="720" w:hanging="357"/>
      </w:pPr>
      <w:r>
        <w:lastRenderedPageBreak/>
        <w:t xml:space="preserve">2. </w:t>
      </w:r>
      <w:r>
        <w:rPr>
          <w:b/>
        </w:rPr>
        <w:t>Intrinsic value.</w:t>
      </w:r>
      <w:r>
        <w:t xml:space="preserve"> The medium carries utility or worth that exists independently of any government decree or institutional designation. Remove the monetary label and something of value remains.</w:t>
      </w:r>
    </w:p>
    <w:p w14:paraId="1A874C80" w14:textId="77777777" w:rsidR="00B27845" w:rsidRDefault="00000000">
      <w:pPr>
        <w:ind w:left="720" w:hanging="357"/>
      </w:pPr>
      <w:r>
        <w:t xml:space="preserve">3. </w:t>
      </w:r>
      <w:r>
        <w:rPr>
          <w:b/>
        </w:rPr>
        <w:t>Durability of value.</w:t>
      </w:r>
      <w:r>
        <w:t xml:space="preserve"> The medium's purchasing power is maintained over multi-year and multi-generational horizons without requiring continuous policy intervention to prevent erosion.</w:t>
      </w:r>
    </w:p>
    <w:p w14:paraId="538E7FFF" w14:textId="77777777" w:rsidR="00B27845" w:rsidRDefault="00000000">
      <w:pPr>
        <w:ind w:left="720" w:hanging="357"/>
      </w:pPr>
      <w:r>
        <w:t xml:space="preserve">4. </w:t>
      </w:r>
      <w:r>
        <w:rPr>
          <w:b/>
        </w:rPr>
        <w:t>Universal acceptance.</w:t>
      </w:r>
      <w:r>
        <w:t xml:space="preserve"> Adoption arises organically from the medium's perceived reliability and usefulness, not from legal compulsion or monopoly enforcement.</w:t>
      </w:r>
    </w:p>
    <w:p w14:paraId="1CD14E01" w14:textId="77777777" w:rsidR="00B27845" w:rsidRDefault="00000000">
      <w:pPr>
        <w:ind w:left="720" w:hanging="357"/>
      </w:pPr>
      <w:r>
        <w:t xml:space="preserve">5. </w:t>
      </w:r>
      <w:r>
        <w:rPr>
          <w:b/>
        </w:rPr>
        <w:t>Knowable quality.</w:t>
      </w:r>
      <w:r>
        <w:t xml:space="preserve"> At the moment of any transaction, both parties can assess the real economic value of the medium, not merely its nominal face value.</w:t>
      </w:r>
    </w:p>
    <w:p w14:paraId="24AA3336" w14:textId="77777777" w:rsidR="00B27845" w:rsidRDefault="00000000">
      <w:pPr>
        <w:ind w:left="720" w:hanging="357"/>
      </w:pPr>
      <w:r>
        <w:t xml:space="preserve">6. </w:t>
      </w:r>
      <w:r>
        <w:rPr>
          <w:b/>
        </w:rPr>
        <w:t>Measurability.</w:t>
      </w:r>
      <w:r>
        <w:t xml:space="preserve"> The medium can be divided and aggregated in precise, standardised increments whose meaning does not drift over time.</w:t>
      </w:r>
    </w:p>
    <w:p w14:paraId="307B76F5" w14:textId="77777777" w:rsidR="00B27845" w:rsidRDefault="00000000">
      <w:pPr>
        <w:ind w:left="720" w:hanging="357"/>
      </w:pPr>
      <w:r>
        <w:t xml:space="preserve">7. </w:t>
      </w:r>
      <w:r>
        <w:rPr>
          <w:b/>
        </w:rPr>
        <w:t>Essential utility.</w:t>
      </w:r>
      <w:r>
        <w:t xml:space="preserve"> The medium fulfils a genuine economic function, serving as a vehicle for productive exchange rather than existing solely as an abstract token within a closed monetary loop.</w:t>
      </w:r>
    </w:p>
    <w:p w14:paraId="0B8F74C4" w14:textId="77777777" w:rsidR="00B27845" w:rsidRDefault="00000000">
      <w:pPr>
        <w:spacing w:before="240"/>
      </w:pPr>
      <w:r>
        <w:rPr>
          <w:b/>
          <w:sz w:val="24"/>
        </w:rPr>
        <w:t>6.2 Application to GX Coin Protocol</w:t>
      </w:r>
    </w:p>
    <w:p w14:paraId="197F3BED" w14:textId="77777777" w:rsidR="00B27845" w:rsidRDefault="00000000">
      <w:pPr>
        <w:spacing w:before="240" w:after="0"/>
      </w:pPr>
      <w:r>
        <w:rPr>
          <w:b/>
        </w:rPr>
        <w:t>Table 5</w:t>
      </w:r>
    </w:p>
    <w:p w14:paraId="412AB9D5" w14:textId="77777777" w:rsidR="00B27845" w:rsidRDefault="00000000">
      <w:r>
        <w:rPr>
          <w:i/>
        </w:rPr>
        <w:t>Seven Soundness Criteria: Fiat Currency, Bitcoin, and GX Protocol</w:t>
      </w:r>
    </w:p>
    <w:tbl>
      <w:tblPr>
        <w:tblStyle w:val="TableGrid"/>
        <w:tblW w:w="0" w:type="auto"/>
        <w:jc w:val="center"/>
        <w:tblLook w:val="04A0" w:firstRow="1" w:lastRow="0" w:firstColumn="1" w:lastColumn="0" w:noHBand="0" w:noVBand="1"/>
      </w:tblPr>
      <w:tblGrid>
        <w:gridCol w:w="2340"/>
        <w:gridCol w:w="2340"/>
        <w:gridCol w:w="2340"/>
        <w:gridCol w:w="2340"/>
      </w:tblGrid>
      <w:tr w:rsidR="00B27845" w14:paraId="3DBF4A0D" w14:textId="77777777">
        <w:trPr>
          <w:jc w:val="center"/>
        </w:trPr>
        <w:tc>
          <w:tcPr>
            <w:tcW w:w="2340" w:type="dxa"/>
          </w:tcPr>
          <w:p w14:paraId="1F27E5D7" w14:textId="77777777" w:rsidR="00B27845" w:rsidRDefault="00000000">
            <w:pPr>
              <w:spacing w:line="240" w:lineRule="auto"/>
            </w:pPr>
            <w:r>
              <w:rPr>
                <w:b/>
                <w:sz w:val="20"/>
              </w:rPr>
              <w:t>Criterion</w:t>
            </w:r>
          </w:p>
        </w:tc>
        <w:tc>
          <w:tcPr>
            <w:tcW w:w="2340" w:type="dxa"/>
          </w:tcPr>
          <w:p w14:paraId="58A92B31" w14:textId="77777777" w:rsidR="00B27845" w:rsidRDefault="00000000">
            <w:pPr>
              <w:spacing w:line="240" w:lineRule="auto"/>
            </w:pPr>
            <w:r>
              <w:rPr>
                <w:b/>
                <w:sz w:val="20"/>
              </w:rPr>
              <w:t>Fiat Currency</w:t>
            </w:r>
          </w:p>
        </w:tc>
        <w:tc>
          <w:tcPr>
            <w:tcW w:w="2340" w:type="dxa"/>
          </w:tcPr>
          <w:p w14:paraId="6CEAD894" w14:textId="77777777" w:rsidR="00B27845" w:rsidRDefault="00000000">
            <w:pPr>
              <w:spacing w:line="240" w:lineRule="auto"/>
            </w:pPr>
            <w:r>
              <w:rPr>
                <w:b/>
                <w:sz w:val="20"/>
              </w:rPr>
              <w:t>Bitcoin</w:t>
            </w:r>
          </w:p>
        </w:tc>
        <w:tc>
          <w:tcPr>
            <w:tcW w:w="2340" w:type="dxa"/>
          </w:tcPr>
          <w:p w14:paraId="0883A78C" w14:textId="77777777" w:rsidR="00B27845" w:rsidRDefault="00000000">
            <w:pPr>
              <w:spacing w:line="240" w:lineRule="auto"/>
            </w:pPr>
            <w:r>
              <w:rPr>
                <w:b/>
                <w:sz w:val="20"/>
              </w:rPr>
              <w:t>GX Protocol</w:t>
            </w:r>
          </w:p>
        </w:tc>
      </w:tr>
      <w:tr w:rsidR="00B27845" w14:paraId="5859EA99" w14:textId="77777777">
        <w:trPr>
          <w:jc w:val="center"/>
        </w:trPr>
        <w:tc>
          <w:tcPr>
            <w:tcW w:w="2340" w:type="dxa"/>
          </w:tcPr>
          <w:p w14:paraId="6E88A44B" w14:textId="77777777" w:rsidR="00B27845" w:rsidRDefault="00000000">
            <w:pPr>
              <w:spacing w:line="240" w:lineRule="auto"/>
            </w:pPr>
            <w:r>
              <w:rPr>
                <w:sz w:val="20"/>
              </w:rPr>
              <w:t>Fungibility</w:t>
            </w:r>
          </w:p>
        </w:tc>
        <w:tc>
          <w:tcPr>
            <w:tcW w:w="2340" w:type="dxa"/>
          </w:tcPr>
          <w:p w14:paraId="0B13CDB5" w14:textId="77777777" w:rsidR="00B27845" w:rsidRDefault="00000000">
            <w:pPr>
              <w:spacing w:line="240" w:lineRule="auto"/>
            </w:pPr>
            <w:r>
              <w:rPr>
                <w:sz w:val="20"/>
              </w:rPr>
              <w:t>Fails: a unit's real worth changes continuously; today's 100 is not next year's 100</w:t>
            </w:r>
          </w:p>
        </w:tc>
        <w:tc>
          <w:tcPr>
            <w:tcW w:w="2340" w:type="dxa"/>
          </w:tcPr>
          <w:p w14:paraId="11C740FE" w14:textId="77777777" w:rsidR="00B27845" w:rsidRDefault="00000000">
            <w:pPr>
              <w:spacing w:line="240" w:lineRule="auto"/>
            </w:pPr>
            <w:r>
              <w:rPr>
                <w:sz w:val="20"/>
              </w:rPr>
              <w:t>Passes: computationally identical units</w:t>
            </w:r>
          </w:p>
        </w:tc>
        <w:tc>
          <w:tcPr>
            <w:tcW w:w="2340" w:type="dxa"/>
          </w:tcPr>
          <w:p w14:paraId="24151882" w14:textId="77777777" w:rsidR="00B27845" w:rsidRDefault="00000000">
            <w:pPr>
              <w:spacing w:line="240" w:lineRule="auto"/>
            </w:pPr>
            <w:r>
              <w:rPr>
                <w:sz w:val="20"/>
              </w:rPr>
              <w:t>Passes: uniform units within an immutable supply cap</w:t>
            </w:r>
          </w:p>
        </w:tc>
      </w:tr>
      <w:tr w:rsidR="00B27845" w14:paraId="652050C7" w14:textId="77777777">
        <w:trPr>
          <w:jc w:val="center"/>
        </w:trPr>
        <w:tc>
          <w:tcPr>
            <w:tcW w:w="2340" w:type="dxa"/>
          </w:tcPr>
          <w:p w14:paraId="0C89D257" w14:textId="77777777" w:rsidR="00B27845" w:rsidRDefault="00000000">
            <w:pPr>
              <w:spacing w:line="240" w:lineRule="auto"/>
            </w:pPr>
            <w:r>
              <w:rPr>
                <w:sz w:val="20"/>
              </w:rPr>
              <w:t>Intrinsic value</w:t>
            </w:r>
          </w:p>
        </w:tc>
        <w:tc>
          <w:tcPr>
            <w:tcW w:w="2340" w:type="dxa"/>
          </w:tcPr>
          <w:p w14:paraId="1E571685" w14:textId="77777777" w:rsidR="00B27845" w:rsidRDefault="00000000">
            <w:pPr>
              <w:spacing w:line="240" w:lineRule="auto"/>
            </w:pPr>
            <w:r>
              <w:rPr>
                <w:sz w:val="20"/>
              </w:rPr>
              <w:t>Fails: worthless if stripped of legal tender status; value is entirely a product of state declaration</w:t>
            </w:r>
          </w:p>
        </w:tc>
        <w:tc>
          <w:tcPr>
            <w:tcW w:w="2340" w:type="dxa"/>
          </w:tcPr>
          <w:p w14:paraId="0E07A7AA" w14:textId="77777777" w:rsidR="00B27845" w:rsidRDefault="00000000">
            <w:pPr>
              <w:spacing w:line="240" w:lineRule="auto"/>
            </w:pPr>
            <w:r>
              <w:rPr>
                <w:sz w:val="20"/>
              </w:rPr>
              <w:t>Uncertain: no independent material use-case</w:t>
            </w:r>
          </w:p>
        </w:tc>
        <w:tc>
          <w:tcPr>
            <w:tcW w:w="2340" w:type="dxa"/>
          </w:tcPr>
          <w:p w14:paraId="56B7D2D6" w14:textId="77777777" w:rsidR="00B27845" w:rsidRDefault="00000000">
            <w:pPr>
              <w:spacing w:line="240" w:lineRule="auto"/>
            </w:pPr>
            <w:r>
              <w:rPr>
                <w:sz w:val="20"/>
              </w:rPr>
              <w:t>Passes: anchored to productive economic activity and gold-calibrated reference</w:t>
            </w:r>
          </w:p>
        </w:tc>
      </w:tr>
      <w:tr w:rsidR="00B27845" w14:paraId="0CCDDAFD" w14:textId="77777777">
        <w:trPr>
          <w:jc w:val="center"/>
        </w:trPr>
        <w:tc>
          <w:tcPr>
            <w:tcW w:w="2340" w:type="dxa"/>
          </w:tcPr>
          <w:p w14:paraId="23C7D7DC" w14:textId="77777777" w:rsidR="00B27845" w:rsidRDefault="00000000">
            <w:pPr>
              <w:spacing w:line="240" w:lineRule="auto"/>
            </w:pPr>
            <w:r>
              <w:rPr>
                <w:sz w:val="20"/>
              </w:rPr>
              <w:t>Durability of value</w:t>
            </w:r>
          </w:p>
        </w:tc>
        <w:tc>
          <w:tcPr>
            <w:tcW w:w="2340" w:type="dxa"/>
          </w:tcPr>
          <w:p w14:paraId="44B0C62C" w14:textId="77777777" w:rsidR="00B27845" w:rsidRDefault="00000000">
            <w:pPr>
              <w:spacing w:line="240" w:lineRule="auto"/>
            </w:pPr>
            <w:r>
              <w:rPr>
                <w:sz w:val="20"/>
              </w:rPr>
              <w:t>Fails: deliberate policy of 2%+ annual erosion; cumulative loss exceeding 96% over a century</w:t>
            </w:r>
          </w:p>
        </w:tc>
        <w:tc>
          <w:tcPr>
            <w:tcW w:w="2340" w:type="dxa"/>
          </w:tcPr>
          <w:p w14:paraId="4CAF691D" w14:textId="77777777" w:rsidR="00B27845" w:rsidRDefault="00000000">
            <w:pPr>
              <w:spacing w:line="240" w:lineRule="auto"/>
            </w:pPr>
            <w:r>
              <w:rPr>
                <w:sz w:val="20"/>
              </w:rPr>
              <w:t>Passes on supply scarcity, but fiat-denominated volatility undermines practical durability</w:t>
            </w:r>
          </w:p>
        </w:tc>
        <w:tc>
          <w:tcPr>
            <w:tcW w:w="2340" w:type="dxa"/>
          </w:tcPr>
          <w:p w14:paraId="0060634B" w14:textId="77777777" w:rsidR="00B27845" w:rsidRDefault="00000000">
            <w:pPr>
              <w:spacing w:line="240" w:lineRule="auto"/>
            </w:pPr>
            <w:r>
              <w:rPr>
                <w:sz w:val="20"/>
              </w:rPr>
              <w:t>Passes: no supply expansion mechanism; genesis-fixed gold reference provides long-horizon stability</w:t>
            </w:r>
          </w:p>
        </w:tc>
      </w:tr>
      <w:tr w:rsidR="00B27845" w14:paraId="52751E73" w14:textId="77777777">
        <w:trPr>
          <w:jc w:val="center"/>
        </w:trPr>
        <w:tc>
          <w:tcPr>
            <w:tcW w:w="2340" w:type="dxa"/>
          </w:tcPr>
          <w:p w14:paraId="5056CBDD" w14:textId="77777777" w:rsidR="00B27845" w:rsidRDefault="00000000">
            <w:pPr>
              <w:spacing w:line="240" w:lineRule="auto"/>
            </w:pPr>
            <w:r>
              <w:rPr>
                <w:sz w:val="20"/>
              </w:rPr>
              <w:t>Universal acceptance</w:t>
            </w:r>
          </w:p>
        </w:tc>
        <w:tc>
          <w:tcPr>
            <w:tcW w:w="2340" w:type="dxa"/>
          </w:tcPr>
          <w:p w14:paraId="2CD7CF18" w14:textId="77777777" w:rsidR="00B27845" w:rsidRDefault="00000000">
            <w:pPr>
              <w:spacing w:line="240" w:lineRule="auto"/>
            </w:pPr>
            <w:r>
              <w:rPr>
                <w:sz w:val="20"/>
              </w:rPr>
              <w:t>Fails: adoption mandated through legal tender statutes rather than earned through merit</w:t>
            </w:r>
          </w:p>
        </w:tc>
        <w:tc>
          <w:tcPr>
            <w:tcW w:w="2340" w:type="dxa"/>
          </w:tcPr>
          <w:p w14:paraId="6E3092E6" w14:textId="77777777" w:rsidR="00B27845" w:rsidRDefault="00000000">
            <w:pPr>
              <w:spacing w:line="240" w:lineRule="auto"/>
            </w:pPr>
            <w:r>
              <w:rPr>
                <w:sz w:val="20"/>
              </w:rPr>
              <w:t>Partial: significant but primarily as a speculative asset, not a daily medium</w:t>
            </w:r>
          </w:p>
        </w:tc>
        <w:tc>
          <w:tcPr>
            <w:tcW w:w="2340" w:type="dxa"/>
          </w:tcPr>
          <w:p w14:paraId="588070D2" w14:textId="77777777" w:rsidR="00B27845" w:rsidRDefault="00000000">
            <w:pPr>
              <w:spacing w:line="240" w:lineRule="auto"/>
            </w:pPr>
            <w:r>
              <w:rPr>
                <w:sz w:val="20"/>
              </w:rPr>
              <w:t>Partial: ecosystem-limited during pre-adoption phase; growing through voluntary uptake</w:t>
            </w:r>
          </w:p>
        </w:tc>
      </w:tr>
      <w:tr w:rsidR="00B27845" w14:paraId="49F25E15" w14:textId="77777777">
        <w:trPr>
          <w:jc w:val="center"/>
        </w:trPr>
        <w:tc>
          <w:tcPr>
            <w:tcW w:w="2340" w:type="dxa"/>
          </w:tcPr>
          <w:p w14:paraId="721E0CC6" w14:textId="77777777" w:rsidR="00B27845" w:rsidRDefault="00000000">
            <w:pPr>
              <w:spacing w:line="240" w:lineRule="auto"/>
            </w:pPr>
            <w:r>
              <w:rPr>
                <w:sz w:val="20"/>
              </w:rPr>
              <w:t>Knowable quality</w:t>
            </w:r>
          </w:p>
        </w:tc>
        <w:tc>
          <w:tcPr>
            <w:tcW w:w="2340" w:type="dxa"/>
          </w:tcPr>
          <w:p w14:paraId="05DCF075" w14:textId="77777777" w:rsidR="00B27845" w:rsidRDefault="00000000">
            <w:pPr>
              <w:spacing w:line="240" w:lineRule="auto"/>
            </w:pPr>
            <w:r>
              <w:rPr>
                <w:sz w:val="20"/>
              </w:rPr>
              <w:t xml:space="preserve">Fails: real purchasing power at any future date </w:t>
            </w:r>
            <w:r>
              <w:rPr>
                <w:sz w:val="20"/>
              </w:rPr>
              <w:lastRenderedPageBreak/>
              <w:t>is unknowable due to discretionary supply changes</w:t>
            </w:r>
          </w:p>
        </w:tc>
        <w:tc>
          <w:tcPr>
            <w:tcW w:w="2340" w:type="dxa"/>
          </w:tcPr>
          <w:p w14:paraId="08017AF8" w14:textId="77777777" w:rsidR="00B27845" w:rsidRDefault="00000000">
            <w:pPr>
              <w:spacing w:line="240" w:lineRule="auto"/>
            </w:pPr>
            <w:r>
              <w:rPr>
                <w:sz w:val="20"/>
              </w:rPr>
              <w:lastRenderedPageBreak/>
              <w:t xml:space="preserve">Passes: open-source protocol with fully </w:t>
            </w:r>
            <w:r>
              <w:rPr>
                <w:sz w:val="20"/>
              </w:rPr>
              <w:lastRenderedPageBreak/>
              <w:t>auditable rules</w:t>
            </w:r>
          </w:p>
        </w:tc>
        <w:tc>
          <w:tcPr>
            <w:tcW w:w="2340" w:type="dxa"/>
          </w:tcPr>
          <w:p w14:paraId="3BD733FE" w14:textId="77777777" w:rsidR="00B27845" w:rsidRDefault="00000000">
            <w:pPr>
              <w:spacing w:line="240" w:lineRule="auto"/>
            </w:pPr>
            <w:r>
              <w:rPr>
                <w:sz w:val="20"/>
              </w:rPr>
              <w:lastRenderedPageBreak/>
              <w:t xml:space="preserve">Passes: deterministic, published parameters with </w:t>
            </w:r>
            <w:r>
              <w:rPr>
                <w:sz w:val="20"/>
              </w:rPr>
              <w:lastRenderedPageBreak/>
              <w:t>no hidden variables</w:t>
            </w:r>
          </w:p>
        </w:tc>
      </w:tr>
      <w:tr w:rsidR="00B27845" w14:paraId="3568E061" w14:textId="77777777">
        <w:trPr>
          <w:jc w:val="center"/>
        </w:trPr>
        <w:tc>
          <w:tcPr>
            <w:tcW w:w="2340" w:type="dxa"/>
          </w:tcPr>
          <w:p w14:paraId="7210180E" w14:textId="77777777" w:rsidR="00B27845" w:rsidRDefault="00000000">
            <w:pPr>
              <w:spacing w:line="240" w:lineRule="auto"/>
            </w:pPr>
            <w:r>
              <w:rPr>
                <w:sz w:val="20"/>
              </w:rPr>
              <w:lastRenderedPageBreak/>
              <w:t>Measurability</w:t>
            </w:r>
          </w:p>
        </w:tc>
        <w:tc>
          <w:tcPr>
            <w:tcW w:w="2340" w:type="dxa"/>
          </w:tcPr>
          <w:p w14:paraId="6E77B56A" w14:textId="77777777" w:rsidR="00B27845" w:rsidRDefault="00000000">
            <w:pPr>
              <w:spacing w:line="240" w:lineRule="auto"/>
            </w:pPr>
            <w:r>
              <w:rPr>
                <w:sz w:val="20"/>
              </w:rPr>
              <w:t>Partial: precise in nominal terms but unstable in real terms due to continuous value drift</w:t>
            </w:r>
          </w:p>
        </w:tc>
        <w:tc>
          <w:tcPr>
            <w:tcW w:w="2340" w:type="dxa"/>
          </w:tcPr>
          <w:p w14:paraId="017785BE" w14:textId="77777777" w:rsidR="00B27845" w:rsidRDefault="00000000">
            <w:pPr>
              <w:spacing w:line="240" w:lineRule="auto"/>
            </w:pPr>
            <w:r>
              <w:rPr>
                <w:sz w:val="20"/>
              </w:rPr>
              <w:t>Passes: satoshi-level precision (8 decimal places)</w:t>
            </w:r>
          </w:p>
        </w:tc>
        <w:tc>
          <w:tcPr>
            <w:tcW w:w="2340" w:type="dxa"/>
          </w:tcPr>
          <w:p w14:paraId="61528298" w14:textId="77777777" w:rsidR="00B27845" w:rsidRDefault="00000000">
            <w:pPr>
              <w:spacing w:line="240" w:lineRule="auto"/>
            </w:pPr>
            <w:r>
              <w:rPr>
                <w:sz w:val="20"/>
              </w:rPr>
              <w:t>Passes: Qirat-level precision (6 decimal places); referenced to a universally understood weight measure</w:t>
            </w:r>
          </w:p>
        </w:tc>
      </w:tr>
      <w:tr w:rsidR="00B27845" w14:paraId="0DFD172C" w14:textId="77777777">
        <w:trPr>
          <w:jc w:val="center"/>
        </w:trPr>
        <w:tc>
          <w:tcPr>
            <w:tcW w:w="2340" w:type="dxa"/>
          </w:tcPr>
          <w:p w14:paraId="1374C268" w14:textId="77777777" w:rsidR="00B27845" w:rsidRDefault="00000000">
            <w:pPr>
              <w:spacing w:line="240" w:lineRule="auto"/>
            </w:pPr>
            <w:r>
              <w:rPr>
                <w:sz w:val="20"/>
              </w:rPr>
              <w:t>Essential utility</w:t>
            </w:r>
          </w:p>
        </w:tc>
        <w:tc>
          <w:tcPr>
            <w:tcW w:w="2340" w:type="dxa"/>
          </w:tcPr>
          <w:p w14:paraId="0152C91B" w14:textId="77777777" w:rsidR="00B27845" w:rsidRDefault="00000000">
            <w:pPr>
              <w:spacing w:line="240" w:lineRule="auto"/>
            </w:pPr>
            <w:r>
              <w:rPr>
                <w:sz w:val="20"/>
              </w:rPr>
              <w:t>Fails: performs no function outside the monetary system it constitutes</w:t>
            </w:r>
          </w:p>
        </w:tc>
        <w:tc>
          <w:tcPr>
            <w:tcW w:w="2340" w:type="dxa"/>
          </w:tcPr>
          <w:p w14:paraId="5FF9C28F" w14:textId="77777777" w:rsidR="00B27845" w:rsidRDefault="00000000">
            <w:pPr>
              <w:spacing w:line="240" w:lineRule="auto"/>
            </w:pPr>
            <w:r>
              <w:rPr>
                <w:sz w:val="20"/>
              </w:rPr>
              <w:t>Uncertain: scholarly debate on whether network utility qualifies as essential</w:t>
            </w:r>
          </w:p>
        </w:tc>
        <w:tc>
          <w:tcPr>
            <w:tcW w:w="2340" w:type="dxa"/>
          </w:tcPr>
          <w:p w14:paraId="0BA9D92C" w14:textId="77777777" w:rsidR="00B27845" w:rsidRDefault="00000000">
            <w:pPr>
              <w:spacing w:line="240" w:lineRule="auto"/>
            </w:pPr>
            <w:r>
              <w:rPr>
                <w:sz w:val="20"/>
              </w:rPr>
              <w:t>Passes: designed as transactional infrastructure for a productive economy, not as a speculative instrument</w:t>
            </w:r>
          </w:p>
        </w:tc>
      </w:tr>
      <w:tr w:rsidR="00B27845" w14:paraId="293541DA" w14:textId="77777777">
        <w:trPr>
          <w:jc w:val="center"/>
        </w:trPr>
        <w:tc>
          <w:tcPr>
            <w:tcW w:w="2340" w:type="dxa"/>
          </w:tcPr>
          <w:p w14:paraId="416EB093" w14:textId="77777777" w:rsidR="00B27845" w:rsidRDefault="00000000">
            <w:pPr>
              <w:spacing w:line="240" w:lineRule="auto"/>
            </w:pPr>
            <w:r>
              <w:rPr>
                <w:b/>
                <w:sz w:val="20"/>
              </w:rPr>
              <w:t>Score</w:t>
            </w:r>
          </w:p>
        </w:tc>
        <w:tc>
          <w:tcPr>
            <w:tcW w:w="2340" w:type="dxa"/>
          </w:tcPr>
          <w:p w14:paraId="4E78DD14" w14:textId="77777777" w:rsidR="00B27845" w:rsidRDefault="00000000">
            <w:pPr>
              <w:spacing w:line="240" w:lineRule="auto"/>
            </w:pPr>
            <w:r>
              <w:rPr>
                <w:b/>
                <w:sz w:val="20"/>
              </w:rPr>
              <w:t>0 pass, 1 partial, 6 fail</w:t>
            </w:r>
          </w:p>
        </w:tc>
        <w:tc>
          <w:tcPr>
            <w:tcW w:w="2340" w:type="dxa"/>
          </w:tcPr>
          <w:p w14:paraId="0DC634C4" w14:textId="77777777" w:rsidR="00B27845" w:rsidRDefault="00000000">
            <w:pPr>
              <w:spacing w:line="240" w:lineRule="auto"/>
            </w:pPr>
            <w:r>
              <w:rPr>
                <w:b/>
                <w:sz w:val="20"/>
              </w:rPr>
              <w:t>2 pass, 2 partial, 3 uncertain</w:t>
            </w:r>
          </w:p>
        </w:tc>
        <w:tc>
          <w:tcPr>
            <w:tcW w:w="2340" w:type="dxa"/>
          </w:tcPr>
          <w:p w14:paraId="07E2F748" w14:textId="77777777" w:rsidR="00B27845" w:rsidRDefault="00000000">
            <w:pPr>
              <w:spacing w:line="240" w:lineRule="auto"/>
            </w:pPr>
            <w:r>
              <w:rPr>
                <w:b/>
                <w:sz w:val="20"/>
              </w:rPr>
              <w:t>6 pass, 1 partial, 0 fail</w:t>
            </w:r>
          </w:p>
        </w:tc>
      </w:tr>
    </w:tbl>
    <w:p w14:paraId="7B2C009D" w14:textId="77777777" w:rsidR="00B27845" w:rsidRDefault="00B27845"/>
    <w:p w14:paraId="62207E9E" w14:textId="77777777" w:rsidR="00B27845" w:rsidRDefault="00000000">
      <w:r>
        <w:t>GX Coin Protocol satisfies six of seven soundness criteria. The sole partial score, universal acceptance, reflects the protocol's pre-launch status rather than any deficiency in its design. Gold was not universally accepted on the day it was first exchanged; its status developed over centuries of proven utility. The protocol's trajectory will be determined by the same forces: practical usefulness, stability, and voluntary adoption.</w:t>
      </w:r>
    </w:p>
    <w:p w14:paraId="13A66FB5" w14:textId="77777777" w:rsidR="00B27845" w:rsidRDefault="00000000">
      <w:r>
        <w:t>A note on intrinsic value warrants elaboration, as it is the criterion most frequently challenged for any digital monetary medium. At genesis, before any productive exchange has occurred, GX carries zero intrinsic value in the classical substrate sense: there is no physical commodity underlying the unit. However, from the first productive exchange onward, this assessment changes. When a farmer accepts GX for a harvest, or an artisan accepts it for manufactured goods, the real-world value of that labour and output becomes embedded in the unit. Each subsequent productive exchange adds to the accumulated value the unit carries. This is not different in kind from how the US dollar, whose material substrate (cotton and linen) is worth approximately USD 0.02, derives 99.98% of its purchasing power from collective willingness to transact. The structural difference is that fiat currencies continuously dilute this accumulated value through supply expansion, while GX preserves it through fixed supply. Value built into the unit through productive exchange stays in the unit rather than eroding through an inflationary mechanism.</w:t>
      </w:r>
    </w:p>
    <w:p w14:paraId="73183357" w14:textId="77777777" w:rsidR="00B27845" w:rsidRDefault="00000000">
      <w:r>
        <w:t>The consolidated soundness score is 88%, incorporating the protocol's own critical assessment of its strengths and limitations across 18 dimensions of structural evaluation (Abdul Majeed, 2026c).</w:t>
      </w:r>
    </w:p>
    <w:p w14:paraId="123C9A8B" w14:textId="77777777" w:rsidR="000A5398" w:rsidRDefault="000A5398">
      <w:pPr>
        <w:spacing w:after="200" w:line="276" w:lineRule="auto"/>
        <w:rPr>
          <w:b/>
          <w:sz w:val="24"/>
        </w:rPr>
      </w:pPr>
      <w:r>
        <w:rPr>
          <w:b/>
          <w:sz w:val="24"/>
        </w:rPr>
        <w:br w:type="page"/>
      </w:r>
    </w:p>
    <w:p w14:paraId="0276807A" w14:textId="2C09E255" w:rsidR="00B27845" w:rsidRDefault="00000000">
      <w:pPr>
        <w:spacing w:before="240"/>
      </w:pPr>
      <w:r>
        <w:rPr>
          <w:b/>
          <w:sz w:val="24"/>
        </w:rPr>
        <w:lastRenderedPageBreak/>
        <w:t>6.3 The Convergence Observation</w:t>
      </w:r>
    </w:p>
    <w:p w14:paraId="172B8324" w14:textId="77777777" w:rsidR="00B27845" w:rsidRDefault="00000000">
      <w:r>
        <w:t>The seven first-principles soundness criteria derived in Section 6.1, from Jevons, Menger, and Aristotle, are structurally identical to the seven ribawi characteristics derived from the Hadith of Riba al-Fadl in classical Islamic jurisprudence (Abdul Majeed, 2026a).</w:t>
      </w:r>
    </w:p>
    <w:p w14:paraId="7B52C61B" w14:textId="77777777" w:rsidR="00B27845" w:rsidRDefault="00000000">
      <w:r>
        <w:t>The Prophet Muhammad (peace be upon him) identified six items subject to ribawi rules: gold, silver, wheat, barley, dates, and salt (Sahih Muslim, 1587). Classical scholars derived seven shared characteristics that explain why these items carry specific exchange rules. These characteristics, articulated in the Arabic jurisprudential tradition, map one-to-one onto the first-principles soundness criteria.</w:t>
      </w:r>
    </w:p>
    <w:p w14:paraId="3186FC56" w14:textId="77777777" w:rsidR="00B27845" w:rsidRDefault="00000000">
      <w:pPr>
        <w:spacing w:before="240" w:after="0"/>
      </w:pPr>
      <w:r>
        <w:rPr>
          <w:b/>
        </w:rPr>
        <w:t>Table 6</w:t>
      </w:r>
    </w:p>
    <w:p w14:paraId="228B32E8" w14:textId="77777777" w:rsidR="00B27845" w:rsidRDefault="00000000">
      <w:r>
        <w:rPr>
          <w:i/>
        </w:rPr>
        <w:t>Convergence Mapping: First-Principles Soundness Criteria and Islamic Economic Principles</w:t>
      </w:r>
    </w:p>
    <w:tbl>
      <w:tblPr>
        <w:tblStyle w:val="TableGrid"/>
        <w:tblW w:w="0" w:type="auto"/>
        <w:jc w:val="center"/>
        <w:tblLook w:val="04A0" w:firstRow="1" w:lastRow="0" w:firstColumn="1" w:lastColumn="0" w:noHBand="0" w:noVBand="1"/>
      </w:tblPr>
      <w:tblGrid>
        <w:gridCol w:w="3120"/>
        <w:gridCol w:w="3120"/>
        <w:gridCol w:w="3120"/>
      </w:tblGrid>
      <w:tr w:rsidR="00B27845" w14:paraId="5999669E" w14:textId="77777777">
        <w:trPr>
          <w:jc w:val="center"/>
        </w:trPr>
        <w:tc>
          <w:tcPr>
            <w:tcW w:w="3120" w:type="dxa"/>
          </w:tcPr>
          <w:p w14:paraId="512CA295" w14:textId="77777777" w:rsidR="00B27845" w:rsidRDefault="00000000">
            <w:pPr>
              <w:spacing w:line="240" w:lineRule="auto"/>
            </w:pPr>
            <w:r>
              <w:rPr>
                <w:b/>
                <w:sz w:val="20"/>
              </w:rPr>
              <w:t>First-Principles Criterion</w:t>
            </w:r>
          </w:p>
        </w:tc>
        <w:tc>
          <w:tcPr>
            <w:tcW w:w="3120" w:type="dxa"/>
          </w:tcPr>
          <w:p w14:paraId="3865FFBA" w14:textId="77777777" w:rsidR="00B27845" w:rsidRDefault="00000000">
            <w:pPr>
              <w:spacing w:line="240" w:lineRule="auto"/>
            </w:pPr>
            <w:r>
              <w:rPr>
                <w:b/>
                <w:sz w:val="20"/>
              </w:rPr>
              <w:t>Classical Ribawi Characteristic (Arabic)</w:t>
            </w:r>
          </w:p>
        </w:tc>
        <w:tc>
          <w:tcPr>
            <w:tcW w:w="3120" w:type="dxa"/>
          </w:tcPr>
          <w:p w14:paraId="3C1054FE" w14:textId="77777777" w:rsidR="00B27845" w:rsidRDefault="00000000">
            <w:pPr>
              <w:spacing w:line="240" w:lineRule="auto"/>
            </w:pPr>
            <w:r>
              <w:rPr>
                <w:b/>
                <w:sz w:val="20"/>
              </w:rPr>
              <w:t>Structural Correspondence</w:t>
            </w:r>
          </w:p>
        </w:tc>
      </w:tr>
      <w:tr w:rsidR="00B27845" w14:paraId="75339E57" w14:textId="77777777">
        <w:trPr>
          <w:jc w:val="center"/>
        </w:trPr>
        <w:tc>
          <w:tcPr>
            <w:tcW w:w="3120" w:type="dxa"/>
          </w:tcPr>
          <w:p w14:paraId="6D02AD23" w14:textId="77777777" w:rsidR="00B27845" w:rsidRDefault="00000000">
            <w:pPr>
              <w:spacing w:line="240" w:lineRule="auto"/>
            </w:pPr>
            <w:r>
              <w:rPr>
                <w:sz w:val="20"/>
              </w:rPr>
              <w:t>Fungibility</w:t>
            </w:r>
          </w:p>
        </w:tc>
        <w:tc>
          <w:tcPr>
            <w:tcW w:w="3120" w:type="dxa"/>
          </w:tcPr>
          <w:p w14:paraId="1AB90D94" w14:textId="77777777" w:rsidR="00B27845" w:rsidRDefault="00000000">
            <w:pPr>
              <w:spacing w:line="240" w:lineRule="auto"/>
            </w:pPr>
            <w:r>
              <w:rPr>
                <w:sz w:val="20"/>
              </w:rPr>
              <w:t>Mithiliyyah (interchangeability)</w:t>
            </w:r>
          </w:p>
        </w:tc>
        <w:tc>
          <w:tcPr>
            <w:tcW w:w="3120" w:type="dxa"/>
          </w:tcPr>
          <w:p w14:paraId="484AB5F7" w14:textId="77777777" w:rsidR="00B27845" w:rsidRDefault="00000000">
            <w:pPr>
              <w:spacing w:line="240" w:lineRule="auto"/>
            </w:pPr>
            <w:r>
              <w:rPr>
                <w:sz w:val="20"/>
              </w:rPr>
              <w:t>Units must be equivalent over time; inflation destroys fungibility</w:t>
            </w:r>
          </w:p>
        </w:tc>
      </w:tr>
      <w:tr w:rsidR="00B27845" w14:paraId="39E965AD" w14:textId="77777777">
        <w:trPr>
          <w:jc w:val="center"/>
        </w:trPr>
        <w:tc>
          <w:tcPr>
            <w:tcW w:w="3120" w:type="dxa"/>
          </w:tcPr>
          <w:p w14:paraId="584E7919" w14:textId="77777777" w:rsidR="00B27845" w:rsidRDefault="00000000">
            <w:pPr>
              <w:spacing w:line="240" w:lineRule="auto"/>
            </w:pPr>
            <w:r>
              <w:rPr>
                <w:sz w:val="20"/>
              </w:rPr>
              <w:t>Intrinsic value</w:t>
            </w:r>
          </w:p>
        </w:tc>
        <w:tc>
          <w:tcPr>
            <w:tcW w:w="3120" w:type="dxa"/>
          </w:tcPr>
          <w:p w14:paraId="558899E9" w14:textId="77777777" w:rsidR="00B27845" w:rsidRDefault="00000000">
            <w:pPr>
              <w:spacing w:line="240" w:lineRule="auto"/>
            </w:pPr>
            <w:r>
              <w:rPr>
                <w:sz w:val="20"/>
              </w:rPr>
              <w:t>Qimah Dhatiyyah (inherent worth)</w:t>
            </w:r>
          </w:p>
        </w:tc>
        <w:tc>
          <w:tcPr>
            <w:tcW w:w="3120" w:type="dxa"/>
          </w:tcPr>
          <w:p w14:paraId="748553B6" w14:textId="77777777" w:rsidR="00B27845" w:rsidRDefault="00000000">
            <w:pPr>
              <w:spacing w:line="240" w:lineRule="auto"/>
            </w:pPr>
            <w:r>
              <w:rPr>
                <w:sz w:val="20"/>
              </w:rPr>
              <w:t>Value must exist independent of legal designation</w:t>
            </w:r>
          </w:p>
        </w:tc>
      </w:tr>
      <w:tr w:rsidR="00B27845" w14:paraId="35590D36" w14:textId="77777777">
        <w:trPr>
          <w:jc w:val="center"/>
        </w:trPr>
        <w:tc>
          <w:tcPr>
            <w:tcW w:w="3120" w:type="dxa"/>
          </w:tcPr>
          <w:p w14:paraId="49EE81BA" w14:textId="77777777" w:rsidR="00B27845" w:rsidRDefault="00000000">
            <w:pPr>
              <w:spacing w:line="240" w:lineRule="auto"/>
            </w:pPr>
            <w:r>
              <w:rPr>
                <w:sz w:val="20"/>
              </w:rPr>
              <w:t>Durability of value</w:t>
            </w:r>
          </w:p>
        </w:tc>
        <w:tc>
          <w:tcPr>
            <w:tcW w:w="3120" w:type="dxa"/>
          </w:tcPr>
          <w:p w14:paraId="5DF39B47" w14:textId="77777777" w:rsidR="00B27845" w:rsidRDefault="00000000">
            <w:pPr>
              <w:spacing w:line="240" w:lineRule="auto"/>
            </w:pPr>
            <w:r>
              <w:rPr>
                <w:sz w:val="20"/>
              </w:rPr>
              <w:t>Baqa' (persistence)</w:t>
            </w:r>
          </w:p>
        </w:tc>
        <w:tc>
          <w:tcPr>
            <w:tcW w:w="3120" w:type="dxa"/>
          </w:tcPr>
          <w:p w14:paraId="6598E369" w14:textId="77777777" w:rsidR="00B27845" w:rsidRDefault="00000000">
            <w:pPr>
              <w:spacing w:line="240" w:lineRule="auto"/>
            </w:pPr>
            <w:r>
              <w:rPr>
                <w:sz w:val="20"/>
              </w:rPr>
              <w:t>Purchasing power must not erode systematically</w:t>
            </w:r>
          </w:p>
        </w:tc>
      </w:tr>
      <w:tr w:rsidR="00B27845" w14:paraId="53A3D28A" w14:textId="77777777">
        <w:trPr>
          <w:jc w:val="center"/>
        </w:trPr>
        <w:tc>
          <w:tcPr>
            <w:tcW w:w="3120" w:type="dxa"/>
          </w:tcPr>
          <w:p w14:paraId="345C90D5" w14:textId="77777777" w:rsidR="00B27845" w:rsidRDefault="00000000">
            <w:pPr>
              <w:spacing w:line="240" w:lineRule="auto"/>
            </w:pPr>
            <w:r>
              <w:rPr>
                <w:sz w:val="20"/>
              </w:rPr>
              <w:t>Universal acceptance</w:t>
            </w:r>
          </w:p>
        </w:tc>
        <w:tc>
          <w:tcPr>
            <w:tcW w:w="3120" w:type="dxa"/>
          </w:tcPr>
          <w:p w14:paraId="5E2D0867" w14:textId="77777777" w:rsidR="00B27845" w:rsidRDefault="00000000">
            <w:pPr>
              <w:spacing w:line="240" w:lineRule="auto"/>
            </w:pPr>
            <w:r>
              <w:rPr>
                <w:sz w:val="20"/>
              </w:rPr>
              <w:t>Rawaj (natural acceptance)</w:t>
            </w:r>
          </w:p>
        </w:tc>
        <w:tc>
          <w:tcPr>
            <w:tcW w:w="3120" w:type="dxa"/>
          </w:tcPr>
          <w:p w14:paraId="00A84D22" w14:textId="77777777" w:rsidR="00B27845" w:rsidRDefault="00000000">
            <w:pPr>
              <w:spacing w:line="240" w:lineRule="auto"/>
            </w:pPr>
            <w:r>
              <w:rPr>
                <w:sz w:val="20"/>
              </w:rPr>
              <w:t>Adoption must arise from utility, not coercion</w:t>
            </w:r>
          </w:p>
        </w:tc>
      </w:tr>
      <w:tr w:rsidR="00B27845" w14:paraId="56C88993" w14:textId="77777777">
        <w:trPr>
          <w:jc w:val="center"/>
        </w:trPr>
        <w:tc>
          <w:tcPr>
            <w:tcW w:w="3120" w:type="dxa"/>
          </w:tcPr>
          <w:p w14:paraId="4ED0D305" w14:textId="77777777" w:rsidR="00B27845" w:rsidRDefault="00000000">
            <w:pPr>
              <w:spacing w:line="240" w:lineRule="auto"/>
            </w:pPr>
            <w:r>
              <w:rPr>
                <w:sz w:val="20"/>
              </w:rPr>
              <w:t>Knowable quality</w:t>
            </w:r>
          </w:p>
        </w:tc>
        <w:tc>
          <w:tcPr>
            <w:tcW w:w="3120" w:type="dxa"/>
          </w:tcPr>
          <w:p w14:paraId="3C3C58C8" w14:textId="77777777" w:rsidR="00B27845" w:rsidRDefault="00000000">
            <w:pPr>
              <w:spacing w:line="240" w:lineRule="auto"/>
            </w:pPr>
            <w:r>
              <w:rPr>
                <w:sz w:val="20"/>
              </w:rPr>
              <w:t>Sifah Ma'lumah (determinable quality)</w:t>
            </w:r>
          </w:p>
        </w:tc>
        <w:tc>
          <w:tcPr>
            <w:tcW w:w="3120" w:type="dxa"/>
          </w:tcPr>
          <w:p w14:paraId="7226D50F" w14:textId="77777777" w:rsidR="00B27845" w:rsidRDefault="00000000">
            <w:pPr>
              <w:spacing w:line="240" w:lineRule="auto"/>
            </w:pPr>
            <w:r>
              <w:rPr>
                <w:sz w:val="20"/>
              </w:rPr>
              <w:t>Real value must be assessable at the point of exchange</w:t>
            </w:r>
          </w:p>
        </w:tc>
      </w:tr>
      <w:tr w:rsidR="00B27845" w14:paraId="4CEBDA97" w14:textId="77777777">
        <w:trPr>
          <w:jc w:val="center"/>
        </w:trPr>
        <w:tc>
          <w:tcPr>
            <w:tcW w:w="3120" w:type="dxa"/>
          </w:tcPr>
          <w:p w14:paraId="6652A03F" w14:textId="77777777" w:rsidR="00B27845" w:rsidRDefault="00000000">
            <w:pPr>
              <w:spacing w:line="240" w:lineRule="auto"/>
            </w:pPr>
            <w:r>
              <w:rPr>
                <w:sz w:val="20"/>
              </w:rPr>
              <w:t>Measurability</w:t>
            </w:r>
          </w:p>
        </w:tc>
        <w:tc>
          <w:tcPr>
            <w:tcW w:w="3120" w:type="dxa"/>
          </w:tcPr>
          <w:p w14:paraId="0ADA748B" w14:textId="77777777" w:rsidR="00B27845" w:rsidRDefault="00000000">
            <w:pPr>
              <w:spacing w:line="240" w:lineRule="auto"/>
            </w:pPr>
            <w:r>
              <w:rPr>
                <w:sz w:val="20"/>
              </w:rPr>
              <w:t>Kayl/Wazn (measure/weight)</w:t>
            </w:r>
          </w:p>
        </w:tc>
        <w:tc>
          <w:tcPr>
            <w:tcW w:w="3120" w:type="dxa"/>
          </w:tcPr>
          <w:p w14:paraId="79B5C24C" w14:textId="77777777" w:rsidR="00B27845" w:rsidRDefault="00000000">
            <w:pPr>
              <w:spacing w:line="240" w:lineRule="auto"/>
            </w:pPr>
            <w:r>
              <w:rPr>
                <w:sz w:val="20"/>
              </w:rPr>
              <w:t>Precise quantification in stable units</w:t>
            </w:r>
          </w:p>
        </w:tc>
      </w:tr>
      <w:tr w:rsidR="00B27845" w14:paraId="581EE8A4" w14:textId="77777777">
        <w:trPr>
          <w:jc w:val="center"/>
        </w:trPr>
        <w:tc>
          <w:tcPr>
            <w:tcW w:w="3120" w:type="dxa"/>
          </w:tcPr>
          <w:p w14:paraId="0F2DABCC" w14:textId="77777777" w:rsidR="00B27845" w:rsidRDefault="00000000">
            <w:pPr>
              <w:spacing w:line="240" w:lineRule="auto"/>
            </w:pPr>
            <w:r>
              <w:rPr>
                <w:sz w:val="20"/>
              </w:rPr>
              <w:t>Essential utility</w:t>
            </w:r>
          </w:p>
        </w:tc>
        <w:tc>
          <w:tcPr>
            <w:tcW w:w="3120" w:type="dxa"/>
          </w:tcPr>
          <w:p w14:paraId="66247BE3" w14:textId="77777777" w:rsidR="00B27845" w:rsidRDefault="00000000">
            <w:pPr>
              <w:spacing w:line="240" w:lineRule="auto"/>
            </w:pPr>
            <w:r>
              <w:rPr>
                <w:sz w:val="20"/>
              </w:rPr>
              <w:t>Hajah 'Ammah (general need)</w:t>
            </w:r>
          </w:p>
        </w:tc>
        <w:tc>
          <w:tcPr>
            <w:tcW w:w="3120" w:type="dxa"/>
          </w:tcPr>
          <w:p w14:paraId="20B197F2" w14:textId="77777777" w:rsidR="00B27845" w:rsidRDefault="00000000">
            <w:pPr>
              <w:spacing w:line="240" w:lineRule="auto"/>
            </w:pPr>
            <w:r>
              <w:rPr>
                <w:sz w:val="20"/>
              </w:rPr>
              <w:t>Must serve a fundamental economic need</w:t>
            </w:r>
          </w:p>
        </w:tc>
      </w:tr>
    </w:tbl>
    <w:p w14:paraId="34CFD197" w14:textId="77777777" w:rsidR="00B27845" w:rsidRDefault="00B27845"/>
    <w:p w14:paraId="23A86AEB" w14:textId="77777777" w:rsidR="00B27845" w:rsidRDefault="00000000">
      <w:r>
        <w:t>This convergence was not engineered. The protocol was designed to satisfy first-principles soundness criteria derived from secular monetary theory. The observation that these criteria are structurally identical to the ribawi characteristics derived from the Hadith tradition constitutes the central finding of this paper.</w:t>
      </w:r>
    </w:p>
    <w:p w14:paraId="0F1A83C7" w14:textId="77777777" w:rsidR="00B27845" w:rsidRDefault="00000000">
      <w:r>
        <w:t xml:space="preserve">The correspondence extends beyond the evaluation criteria to the architectural design itself. The protocol's interest-free operations correspond to the prohibition of Riba. The profit-sharing lending model corresponds to Mudarabah and Musharakah structures in Islamic finance. The velocity tax's redistributive function, while explicitly distinct from Zakat in mechanism and obligation, achieves the same structural objective of preventing wealth concentration and ensuring circulation. The grant-based distribution </w:t>
      </w:r>
      <w:r>
        <w:lastRenderedPageBreak/>
        <w:t>model, distributing purchasing power before requiring people to earn it, aligns with the Maqasid al-Shariah principle of Hifz al-Mal, the preservation of wealth across the population.</w:t>
      </w:r>
    </w:p>
    <w:p w14:paraId="073E2AEF" w14:textId="77777777" w:rsidR="00B27845" w:rsidRDefault="00000000">
      <w:pPr>
        <w:spacing w:before="360"/>
      </w:pPr>
      <w:r>
        <w:rPr>
          <w:b/>
          <w:sz w:val="26"/>
        </w:rPr>
        <w:t>7. Discussion</w:t>
      </w:r>
    </w:p>
    <w:p w14:paraId="7701CACB" w14:textId="77777777" w:rsidR="00B27845" w:rsidRDefault="00000000">
      <w:pPr>
        <w:spacing w:before="240"/>
      </w:pPr>
      <w:r>
        <w:rPr>
          <w:b/>
          <w:sz w:val="24"/>
        </w:rPr>
        <w:t>7.1 Implications of the Convergence Thesis</w:t>
      </w:r>
    </w:p>
    <w:p w14:paraId="1ACDC1E3" w14:textId="77777777" w:rsidR="00B27845" w:rsidRDefault="00000000">
      <w:r>
        <w:t>The structural convergence between first-principles monetary design and classical Islamic economic principles carries a significant implication: the principles Islamic economics has articulated for centuries are not sectarian prescriptions specific to a particular religious tradition. They are universal structural truths about what makes money sound and what makes monetary systems sustainable.</w:t>
      </w:r>
    </w:p>
    <w:p w14:paraId="6293E9EB" w14:textId="77777777" w:rsidR="00B27845" w:rsidRDefault="00000000">
      <w:r>
        <w:t>When independent first-principles analysis, drawing on Friedman, Hayek, Gesell, Jevons, Menger, and Aristotle, arrives at the same architectural conclusions as a jurisprudential tradition derived from the Quran and Hadith, the convergence cannot be dismissed as coincidence. The prohibition of interest is not merely a moral injunction; it is the recognition that debt-based money creation produces a mathematical impossibility where total debt permanently exceeds total money supply. The requirement for monetary media to possess intrinsic value and durability is not merely a juristic preference; it is the recognition that money without these properties systematically transfers wealth from the poor to the rich through inflation.</w:t>
      </w:r>
    </w:p>
    <w:p w14:paraId="5F81CF03" w14:textId="77777777" w:rsidR="00B27845" w:rsidRDefault="00000000">
      <w:r>
        <w:t>This reframing has practical consequences. Islamic economics has struggled for recognition in mainstream economic discourse, partly because its principles have been presented as religious requirements rather than as economic insights. The convergence thesis offers a bridge: Islamic economic principles can be articulated in the first-principles language that secular economics recognises, because they are, at their structural core, the same principles that secular analysis independently derives.</w:t>
      </w:r>
    </w:p>
    <w:p w14:paraId="11EF7C7C" w14:textId="77777777" w:rsidR="00B27845" w:rsidRDefault="00000000">
      <w:pPr>
        <w:spacing w:before="240"/>
      </w:pPr>
      <w:r>
        <w:rPr>
          <w:b/>
          <w:sz w:val="24"/>
        </w:rPr>
        <w:t>7.2 Limitations</w:t>
      </w:r>
    </w:p>
    <w:p w14:paraId="2B876515" w14:textId="77777777" w:rsidR="00B27845" w:rsidRDefault="00000000">
      <w:r>
        <w:t>Several limitations must be acknowledged. First, GX Coin Protocol is pre-launch. The soundness evaluation is based on architectural design and theoretical analysis, not on empirical observation of a functioning monetary system. The 88% soundness score is self-assessed, and an independent evaluation by external economists would strengthen or qualify these findings.</w:t>
      </w:r>
    </w:p>
    <w:p w14:paraId="043DADC6" w14:textId="77777777" w:rsidR="00B27845" w:rsidRDefault="00000000">
      <w:r>
        <w:t>Second, universal acceptance remains only partially satisfied. Until the protocol achieves sufficient adoption to function as a medium of exchange in daily commerce, this criterion reflects design intent rather than operational reality. Whether the adoption trajectory will resemble the Euro's coordinated introduction in 1999 or Bitcoin's organic, decade-long growth remains an open empirical question.</w:t>
      </w:r>
    </w:p>
    <w:p w14:paraId="4D4041EC" w14:textId="77777777" w:rsidR="00B27845" w:rsidRDefault="00000000">
      <w:r>
        <w:lastRenderedPageBreak/>
        <w:t>Third, convergence is not philosophical equivalence. The first-principles criteria and the ribawi characteristics arrive at structurally identical conclusions about what sound money requires, but they are derived from different epistemological foundations. The Islamic tradition grounds these criteria in divine revelation; the secular tradition grounds them in empirical observation and theoretical analysis. This paper demonstrates structural convergence, not epistemological identity.</w:t>
      </w:r>
    </w:p>
    <w:p w14:paraId="352DCF08" w14:textId="77777777" w:rsidR="00B27845" w:rsidRDefault="00000000">
      <w:r>
        <w:t>Fourth, the velocity tax, while achieving redistributive objectives comparable to Zakat's structural function, is explicitly not Zakat. Zakat is a specific religious obligation with defined rates, eligible categories, and spiritual dimensions that a protocol-level tax mechanism does not and cannot replicate. The architectural alignment between the two mechanisms does not establish religious equivalence.</w:t>
      </w:r>
    </w:p>
    <w:p w14:paraId="396C26A5" w14:textId="77777777" w:rsidR="00B27845" w:rsidRDefault="00000000">
      <w:pPr>
        <w:spacing w:before="240"/>
      </w:pPr>
      <w:r>
        <w:rPr>
          <w:b/>
          <w:sz w:val="24"/>
        </w:rPr>
        <w:t>7.3 Comparison with Contemporary Islamic Finance</w:t>
      </w:r>
    </w:p>
    <w:p w14:paraId="05135F63" w14:textId="77777777" w:rsidR="00B27845" w:rsidRDefault="00000000">
      <w:r>
        <w:t>The global Islamic finance sector, whose total assets now exceed USD 4 trillion (IFSB, 2024), has produced sophisticated product-level solutions: Murabahah, Ijarah, Musharakah, and Sukuk. These products satisfy Shariah requirements at the transactional level. However, they operate within a monetary system whose foundational architecture contradicts the principles they implement. The compliance addresses the surface transaction while the structural riba operates at the system level (Abdul Majeed, 2026a).</w:t>
      </w:r>
    </w:p>
    <w:p w14:paraId="533F0B77" w14:textId="77777777" w:rsidR="00B27845" w:rsidRDefault="00000000">
      <w:r>
        <w:t>The distinction is not merely academic. It is the difference between infrastructure and architecture. Payment systems such as Visa or Mastercard are infrastructure: they sit on top of existing fiat currencies and do not determine whether the dollar inflates, whether lending charges interest, or whether 1.4 billion adults remain excluded from banking. Those decisions are made upstream, at the monetary architecture level. GX operates at this deeper layer, replacing the properties of the instrument itself. Fixed supply is not a feature a payment network adds; it is a monetary property encoded in the issuance rule. Interest-free lending is not a merchant setting; it is a constraint encoded in the loan pool. The velocity tax is not a processing fee; it is a structural answer to hoarding embedded at the protocol level. These properties cannot be bolted onto existing fiat currencies; they can only exist in a system where the instrument itself is redesigned.</w:t>
      </w:r>
    </w:p>
    <w:p w14:paraId="34A7BE68" w14:textId="77777777" w:rsidR="00B27845" w:rsidRDefault="00000000">
      <w:r>
        <w:t xml:space="preserve">This architectural approach also addresses the cosmetic-compliance problem that has plagued Islamic finance. In environments where institutions retain discretion over product design, the persistent risk is that formally permissible structures conceal prohibited economic substance. GX removes this discretion at the instrument level. Interest cannot be reintroduced cosmetically, because the lending mechanism is protocol-defined, not institutionally configurable. The velocity tax cannot be opted out of. On-chain transparency ensures that every parameter, allocation, and transaction is permanently auditable. Form is </w:t>
      </w:r>
      <w:r>
        <w:lastRenderedPageBreak/>
        <w:t>substance, because the rules are encoded in the specification rather than delegated to institutional discretion.</w:t>
      </w:r>
    </w:p>
    <w:p w14:paraId="22405E05" w14:textId="77777777" w:rsidR="00B27845" w:rsidRDefault="00000000">
      <w:r>
        <w:t>This distinction, architecture versus compliance, represents the paper's core contribution to Islamic economics. The literature has extensively analysed how to structure individual transactions to satisfy Shariah requirements. It has paid less attention to whether the monetary system within which those transactions occur can itself satisfy those requirements.</w:t>
      </w:r>
    </w:p>
    <w:p w14:paraId="1A63AF2C" w14:textId="77777777" w:rsidR="00B27845" w:rsidRDefault="00000000">
      <w:pPr>
        <w:spacing w:before="360"/>
      </w:pPr>
      <w:r>
        <w:rPr>
          <w:b/>
          <w:sz w:val="26"/>
        </w:rPr>
        <w:t>8. Conclusion</w:t>
      </w:r>
    </w:p>
    <w:p w14:paraId="7D43FE27" w14:textId="77777777" w:rsidR="00B27845" w:rsidRDefault="00000000">
      <w:r>
        <w:t>This paper asked whether a monetary architecture designed entirely from first-principles economic analysis, without reference to any jurisprudential framework, produces a system that converges with the objectives Islamic economics has articulated for centuries.</w:t>
      </w:r>
    </w:p>
    <w:p w14:paraId="347A0FD6" w14:textId="77777777" w:rsidR="00B27845" w:rsidRDefault="00000000">
      <w:r>
        <w:t>The answer is yes. GX Coin Protocol, designed through analysis of the mathematical impossibility of interest-bearing money, the regressive wealth transfer of inflation, the structural exclusion of debt-based issuance, and the failures of discretionary monetary policy, produces an architecture whose seven soundness criteria are structurally identical to the seven ribawi characteristics derived from classical Islamic jurisprudence. This convergence was not designed; it was discovered.</w:t>
      </w:r>
    </w:p>
    <w:p w14:paraId="49BE4D59" w14:textId="77777777" w:rsidR="00B27845" w:rsidRDefault="00000000">
      <w:r>
        <w:t>The practical implication is that Islamic economics now has a concrete architectural model, not merely a set of principles or a collection of product-level compliance mechanisms. The theoretical implication is that the principles Islamic economics has advocated are not sectarian prescriptions but universal structural truths about sound money that rigorous first-principles analysis independently rediscovers.</w:t>
      </w:r>
    </w:p>
    <w:p w14:paraId="24AA298C" w14:textId="77777777" w:rsidR="00B27845" w:rsidRDefault="00000000">
      <w:r>
        <w:t>Three directions for future research emerge from this work. First, independent evaluation of the GX Coin Protocol by external economists and Islamic finance scholars would test the convergence thesis against alternative analytical frameworks. Second, agent-based modelling of the velocity tax mechanism would provide empirical evidence on its redistributive and counter-cyclical effectiveness under various economic scenarios. Third, the convergence framework could inform CBDC design in Muslim-majority countries, where monetary authorities could leverage these structural principles to produce digital currencies that satisfy both first-principles soundness criteria and Islamic economic objectives simultaneously.</w:t>
      </w:r>
    </w:p>
    <w:p w14:paraId="2F08AE03" w14:textId="77777777" w:rsidR="00B27845" w:rsidRDefault="00000000">
      <w:r>
        <w:t>The convergence thesis offers a reframing of Islamic economics that the field has needed: from a set of restrictions to be complied with, to a set of architectural principles that any monetary designer, regardless of tradition, would independently arrive at if they worked from first principles with sufficient rigour.</w:t>
      </w:r>
    </w:p>
    <w:p w14:paraId="7B086DDF" w14:textId="77777777" w:rsidR="00B27845" w:rsidRDefault="00000000">
      <w:pPr>
        <w:spacing w:before="360"/>
      </w:pPr>
      <w:r>
        <w:rPr>
          <w:b/>
          <w:sz w:val="26"/>
        </w:rPr>
        <w:lastRenderedPageBreak/>
        <w:t>Declarations</w:t>
      </w:r>
    </w:p>
    <w:p w14:paraId="0D6BFA7A" w14:textId="77777777" w:rsidR="00B27845" w:rsidRDefault="00000000">
      <w:r>
        <w:rPr>
          <w:b/>
        </w:rPr>
        <w:t>Authorship Statement.</w:t>
      </w:r>
      <w:r>
        <w:t xml:space="preserve"> The named author is solely responsible for this paper. No guest, gift, or ghost authorship is involved. The protocol design, the convergence analysis, and all written content are the author's own work.</w:t>
      </w:r>
    </w:p>
    <w:p w14:paraId="0274D48B" w14:textId="3A017ACC" w:rsidR="00B27845" w:rsidRDefault="00000000">
      <w:r>
        <w:rPr>
          <w:b/>
        </w:rPr>
        <w:t>AI Disclosure.</w:t>
      </w:r>
      <w:r>
        <w:t xml:space="preserve"> An AI language model (Claude, Anthropic) provided limited editorial assistance during manuscript preparation, confined to grammar review, sentence-level clarity, and formatting. The research design, analytical arguments, convergence thesis, and all substantive intellectual content originate entirely from the author. </w:t>
      </w:r>
    </w:p>
    <w:p w14:paraId="570A9124" w14:textId="77777777" w:rsidR="00B27845" w:rsidRDefault="00000000">
      <w:r>
        <w:rPr>
          <w:b/>
        </w:rPr>
        <w:t>Conflict of Interest.</w:t>
      </w:r>
      <w:r>
        <w:t xml:space="preserve"> The author designed GX Coin Protocol. This potential conflict is mitigated by the paper's explicit acknowledgement of limitations (Section 7.2), the protocol's non-commercial, non-profit structure, and the absence of any investment returns, token sales, or financial incentive tied to the protocol's evaluation.</w:t>
      </w:r>
    </w:p>
    <w:p w14:paraId="4B6EF835" w14:textId="77777777" w:rsidR="00B27845" w:rsidRDefault="00000000">
      <w:r>
        <w:rPr>
          <w:b/>
        </w:rPr>
        <w:t>Prior Publication.</w:t>
      </w:r>
      <w:r>
        <w:t xml:space="preserve"> This manuscript has not been published previously and is not under review elsewhere. Technical documentation of the protocol specification has been published (Abdul Majeed, 2026c). A companion paper presenting the Mizan diagnostic framework (Abdul Majeed, 2026b) has been submitted to JIBEP under the FinTech and Digital Innovation sub-theme; the two papers address distinct research questions with no overlapping content.</w:t>
      </w:r>
    </w:p>
    <w:p w14:paraId="7B34E9D5" w14:textId="77777777" w:rsidR="00B27845" w:rsidRDefault="00000000">
      <w:r>
        <w:rPr>
          <w:b/>
        </w:rPr>
        <w:t>Ethics Statement.</w:t>
      </w:r>
      <w:r>
        <w:t xml:space="preserve"> This study was conducted in accordance with JIBEP's Research Ethics Guidelines and the Committee on Publication Ethics (COPE) Code of Conduct. No human participants, personal data, or confidential information were involved.</w:t>
      </w:r>
    </w:p>
    <w:p w14:paraId="37FB95C1" w14:textId="77777777" w:rsidR="00B27845" w:rsidRDefault="00000000">
      <w:pPr>
        <w:spacing w:before="360"/>
      </w:pPr>
      <w:r>
        <w:rPr>
          <w:b/>
          <w:sz w:val="26"/>
        </w:rPr>
        <w:t>References</w:t>
      </w:r>
    </w:p>
    <w:p w14:paraId="49ACCCE1" w14:textId="77777777" w:rsidR="00B27845" w:rsidRDefault="00000000">
      <w:pPr>
        <w:ind w:left="720" w:hanging="720"/>
      </w:pPr>
      <w:r>
        <w:t>Abdul Majeed, M. A. (2026a). From gold to paper: Riba, fiat currency, and the question nobody wants to ask. https://azim.cc/blog/riba-research-paper</w:t>
      </w:r>
    </w:p>
    <w:p w14:paraId="053C9D52" w14:textId="77777777" w:rsidR="00B27845" w:rsidRDefault="00000000">
      <w:pPr>
        <w:ind w:left="720" w:hanging="720"/>
      </w:pPr>
      <w:r>
        <w:t xml:space="preserve">Abdul Majeed, M. A. (2026b). Mizan: A primary-source diagnostic framework for evaluating Islamic financial instruments against classical ribawi characteristics. </w:t>
      </w:r>
      <w:r>
        <w:rPr>
          <w:i/>
        </w:rPr>
        <w:t>Manuscript submitted for publication</w:t>
      </w:r>
      <w:r>
        <w:t>.</w:t>
      </w:r>
    </w:p>
    <w:p w14:paraId="016C1481" w14:textId="2815F367" w:rsidR="00B27845" w:rsidRDefault="00000000">
      <w:pPr>
        <w:ind w:left="720" w:hanging="720"/>
      </w:pPr>
      <w:r>
        <w:t xml:space="preserve">Abdul Majeed, M. A. (2026c). </w:t>
      </w:r>
      <w:r>
        <w:rPr>
          <w:i/>
        </w:rPr>
        <w:t>GX Protocol: Definitive soundness analysis</w:t>
      </w:r>
      <w:r>
        <w:t xml:space="preserve"> (Version 4.0). https://gxcoin</w:t>
      </w:r>
      <w:r w:rsidR="000A5398">
        <w:t>.money</w:t>
      </w:r>
      <w:r>
        <w:t>/soundness-analysis</w:t>
      </w:r>
    </w:p>
    <w:p w14:paraId="2A5B57CE" w14:textId="77777777" w:rsidR="00B27845" w:rsidRDefault="00000000">
      <w:pPr>
        <w:ind w:left="720" w:hanging="720"/>
      </w:pPr>
      <w:r>
        <w:t xml:space="preserve">Al-Ghazali, A. H. (n.d.). </w:t>
      </w:r>
      <w:r>
        <w:rPr>
          <w:i/>
        </w:rPr>
        <w:t>Ihya' 'ulum al-din</w:t>
      </w:r>
      <w:r>
        <w:t xml:space="preserve"> [The revival of the religious sciences]. Dar al-Ma'rifah.</w:t>
      </w:r>
    </w:p>
    <w:p w14:paraId="0D44437F" w14:textId="77777777" w:rsidR="00B27845" w:rsidRDefault="00000000">
      <w:pPr>
        <w:ind w:left="720" w:hanging="720"/>
      </w:pPr>
      <w:r>
        <w:lastRenderedPageBreak/>
        <w:t xml:space="preserve">Al-Shatibi, A. I. (n.d.). </w:t>
      </w:r>
      <w:r>
        <w:rPr>
          <w:i/>
        </w:rPr>
        <w:t>Al-Muwafaqat fi usul al-Shariah</w:t>
      </w:r>
      <w:r>
        <w:t xml:space="preserve"> [The reconciliation of the fundamentals of Islamic law]. Dar Ibn Affan.</w:t>
      </w:r>
    </w:p>
    <w:p w14:paraId="0EDE0CF5" w14:textId="77777777" w:rsidR="00B27845" w:rsidRDefault="00000000">
      <w:pPr>
        <w:ind w:left="720" w:hanging="720"/>
      </w:pPr>
      <w:r>
        <w:t xml:space="preserve">Aristotle. (n.d.). </w:t>
      </w:r>
      <w:r>
        <w:rPr>
          <w:i/>
        </w:rPr>
        <w:t>Politics</w:t>
      </w:r>
      <w:r>
        <w:t xml:space="preserve"> (B. Jowett, Trans.). Oxford University Press.</w:t>
      </w:r>
    </w:p>
    <w:p w14:paraId="77A3DC78" w14:textId="77777777" w:rsidR="00B27845" w:rsidRDefault="00000000">
      <w:pPr>
        <w:ind w:left="720" w:hanging="720"/>
      </w:pPr>
      <w:r>
        <w:t xml:space="preserve">Atlantic Council. (2025). </w:t>
      </w:r>
      <w:r>
        <w:rPr>
          <w:i/>
        </w:rPr>
        <w:t>Central Bank Digital Currency tracker</w:t>
      </w:r>
      <w:r>
        <w:t>. https://www.atlanticcouncil.org/cbdctracker/</w:t>
      </w:r>
    </w:p>
    <w:p w14:paraId="644DD865" w14:textId="77777777" w:rsidR="00B27845" w:rsidRDefault="00000000">
      <w:pPr>
        <w:ind w:left="720" w:hanging="720"/>
      </w:pPr>
      <w:r>
        <w:t xml:space="preserve">Chainalysis. (2021). </w:t>
      </w:r>
      <w:r>
        <w:rPr>
          <w:i/>
        </w:rPr>
        <w:t>The 2021 crypto crime report</w:t>
      </w:r>
      <w:r>
        <w:t>. Chainalysis Inc.</w:t>
      </w:r>
    </w:p>
    <w:p w14:paraId="19739966" w14:textId="77777777" w:rsidR="00B27845" w:rsidRDefault="00000000">
      <w:pPr>
        <w:ind w:left="720" w:hanging="720"/>
      </w:pPr>
      <w:r>
        <w:t xml:space="preserve">Cambridge Centre for Alternative Finance. (2025). </w:t>
      </w:r>
      <w:r>
        <w:rPr>
          <w:i/>
        </w:rPr>
        <w:t>Cambridge Bitcoin electricity consumption index</w:t>
      </w:r>
      <w:r>
        <w:t>. University of Cambridge. https://ccaf.io/cbnsi/cbeci</w:t>
      </w:r>
    </w:p>
    <w:p w14:paraId="02D09774" w14:textId="77777777" w:rsidR="00B27845" w:rsidRDefault="00000000">
      <w:pPr>
        <w:ind w:left="720" w:hanging="720"/>
      </w:pPr>
      <w:r>
        <w:t xml:space="preserve">Chapra, M. U. (2008). </w:t>
      </w:r>
      <w:r>
        <w:rPr>
          <w:i/>
        </w:rPr>
        <w:t>The Islamic vision of development in the light of Maqasid al-Shariah</w:t>
      </w:r>
      <w:r>
        <w:t>. International Institute of Islamic Thought.</w:t>
      </w:r>
    </w:p>
    <w:p w14:paraId="174EF5DD" w14:textId="77777777" w:rsidR="00B27845" w:rsidRDefault="00000000">
      <w:pPr>
        <w:ind w:left="720" w:hanging="720"/>
      </w:pPr>
      <w:r>
        <w:t xml:space="preserve">Federal Reserve Bank of St. Louis. (2025). </w:t>
      </w:r>
      <w:r>
        <w:rPr>
          <w:i/>
        </w:rPr>
        <w:t>M2 money stock</w:t>
      </w:r>
      <w:r>
        <w:t xml:space="preserve"> [Data set]. FRED Economic Data. https://fred.stlouisfed.org/series/M2SL</w:t>
      </w:r>
    </w:p>
    <w:p w14:paraId="4B3AE605" w14:textId="77777777" w:rsidR="00B27845" w:rsidRDefault="00000000">
      <w:pPr>
        <w:ind w:left="720" w:hanging="720"/>
      </w:pPr>
      <w:r>
        <w:t xml:space="preserve">Friedman, M. (1962). </w:t>
      </w:r>
      <w:r>
        <w:rPr>
          <w:i/>
        </w:rPr>
        <w:t>Capitalism and freedom</w:t>
      </w:r>
      <w:r>
        <w:t>. University of Chicago Press.</w:t>
      </w:r>
    </w:p>
    <w:p w14:paraId="2D972A48" w14:textId="77777777" w:rsidR="00B27845" w:rsidRDefault="00000000">
      <w:pPr>
        <w:ind w:left="720" w:hanging="720"/>
      </w:pPr>
      <w:r>
        <w:t xml:space="preserve">Gesell, S. (1916). </w:t>
      </w:r>
      <w:r>
        <w:rPr>
          <w:i/>
        </w:rPr>
        <w:t>Die natürliche Wirtschaftsordnung</w:t>
      </w:r>
      <w:r>
        <w:t xml:space="preserve"> [The natural economic order]. Les Hauts Geneveys.</w:t>
      </w:r>
    </w:p>
    <w:p w14:paraId="1B3DC52E" w14:textId="77777777" w:rsidR="00B27845" w:rsidRDefault="00000000">
      <w:pPr>
        <w:ind w:left="720" w:hanging="720"/>
      </w:pPr>
      <w:r>
        <w:t xml:space="preserve">Hayek, F. A. (1976). </w:t>
      </w:r>
      <w:r>
        <w:rPr>
          <w:i/>
        </w:rPr>
        <w:t>Denationalisation of money: The argument refined</w:t>
      </w:r>
      <w:r>
        <w:t>. Institute of Economic Affairs.</w:t>
      </w:r>
    </w:p>
    <w:p w14:paraId="2BC231F4" w14:textId="77777777" w:rsidR="00B27845" w:rsidRDefault="00000000">
      <w:pPr>
        <w:ind w:left="720" w:hanging="720"/>
      </w:pPr>
      <w:r>
        <w:t xml:space="preserve">Hevner, A. R., March, S. T., Park, J., &amp; Ram, S. (2004). Design science in information systems research. </w:t>
      </w:r>
      <w:r>
        <w:rPr>
          <w:i/>
        </w:rPr>
        <w:t>MIS Quarterly</w:t>
      </w:r>
      <w:r>
        <w:t xml:space="preserve">, </w:t>
      </w:r>
      <w:r>
        <w:rPr>
          <w:i/>
        </w:rPr>
        <w:t>28</w:t>
      </w:r>
      <w:r>
        <w:t>(1), 75-105. https://doi.org/10.2307/25148625</w:t>
      </w:r>
    </w:p>
    <w:p w14:paraId="540338FA" w14:textId="77777777" w:rsidR="00B27845" w:rsidRDefault="00000000">
      <w:pPr>
        <w:ind w:left="720" w:hanging="720"/>
      </w:pPr>
      <w:r>
        <w:t xml:space="preserve">Ibn Qayyim al-Jawziyyah, M. A. (n.d.). </w:t>
      </w:r>
      <w:r>
        <w:rPr>
          <w:i/>
        </w:rPr>
        <w:t>I'lam al-muwaqqi'in 'an rabb al-'alamin</w:t>
      </w:r>
      <w:r>
        <w:t xml:space="preserve"> [A notice to those who issue rulings on behalf of the Lord of the worlds]. Dar al-Kutub al-'Ilmiyyah.</w:t>
      </w:r>
    </w:p>
    <w:p w14:paraId="1AADB8C6" w14:textId="77777777" w:rsidR="00B27845" w:rsidRDefault="00000000">
      <w:pPr>
        <w:ind w:left="720" w:hanging="720"/>
      </w:pPr>
      <w:r>
        <w:t xml:space="preserve">Ibn Taymiyyah, A. A. (n.d.). </w:t>
      </w:r>
      <w:r>
        <w:rPr>
          <w:i/>
        </w:rPr>
        <w:t>Majmu' al-fatawa</w:t>
      </w:r>
      <w:r>
        <w:t xml:space="preserve"> [Compilation of legal rulings]. Dar al-Wafa'.</w:t>
      </w:r>
    </w:p>
    <w:p w14:paraId="15963144" w14:textId="77777777" w:rsidR="00B27845" w:rsidRDefault="00000000">
      <w:pPr>
        <w:ind w:left="720" w:hanging="720"/>
      </w:pPr>
      <w:r>
        <w:t xml:space="preserve">Institute of International Finance. (2024). </w:t>
      </w:r>
      <w:r>
        <w:rPr>
          <w:i/>
        </w:rPr>
        <w:t>Global debt monitor</w:t>
      </w:r>
      <w:r>
        <w:t>. IIF.</w:t>
      </w:r>
    </w:p>
    <w:p w14:paraId="3DECAD0F" w14:textId="77777777" w:rsidR="00B27845" w:rsidRDefault="00000000">
      <w:pPr>
        <w:ind w:left="720" w:hanging="720"/>
      </w:pPr>
      <w:r>
        <w:t xml:space="preserve">Iqbal, Z., &amp; Mirakhor, A. (2011). </w:t>
      </w:r>
      <w:r>
        <w:rPr>
          <w:i/>
        </w:rPr>
        <w:t>An introduction to Islamic finance: Theory and practice</w:t>
      </w:r>
      <w:r>
        <w:t xml:space="preserve"> (2nd ed.). John Wiley &amp; Sons.</w:t>
      </w:r>
    </w:p>
    <w:p w14:paraId="3BB7EA7F" w14:textId="77777777" w:rsidR="00B27845" w:rsidRDefault="00000000">
      <w:pPr>
        <w:ind w:left="720" w:hanging="720"/>
      </w:pPr>
      <w:r>
        <w:t xml:space="preserve">Islamic Financial Services Board. (2024). </w:t>
      </w:r>
      <w:r>
        <w:rPr>
          <w:i/>
        </w:rPr>
        <w:t>Islamic financial services industry stability report 2024</w:t>
      </w:r>
      <w:r>
        <w:t>. IFSB.</w:t>
      </w:r>
    </w:p>
    <w:p w14:paraId="19ABE002" w14:textId="77777777" w:rsidR="00B27845" w:rsidRDefault="00000000">
      <w:pPr>
        <w:ind w:left="720" w:hanging="720"/>
      </w:pPr>
      <w:r>
        <w:t xml:space="preserve">Jevons, W. S. (1875). </w:t>
      </w:r>
      <w:r>
        <w:rPr>
          <w:i/>
        </w:rPr>
        <w:t>Money and the mechanism of exchange</w:t>
      </w:r>
      <w:r>
        <w:t>. D. Appleton and Company.</w:t>
      </w:r>
    </w:p>
    <w:p w14:paraId="71BD6658" w14:textId="77777777" w:rsidR="00B27845" w:rsidRDefault="00000000">
      <w:pPr>
        <w:ind w:left="720" w:hanging="720"/>
      </w:pPr>
      <w:r>
        <w:t xml:space="preserve">Keen, S. (2011). </w:t>
      </w:r>
      <w:r>
        <w:rPr>
          <w:i/>
        </w:rPr>
        <w:t>Debunking economics: The naked emperor dethroned?</w:t>
      </w:r>
      <w:r>
        <w:t xml:space="preserve"> (2nd ed.). Zed Books.</w:t>
      </w:r>
    </w:p>
    <w:p w14:paraId="0A0C31F6" w14:textId="77777777" w:rsidR="00B27845" w:rsidRDefault="00000000">
      <w:pPr>
        <w:ind w:left="720" w:hanging="720"/>
      </w:pPr>
      <w:r>
        <w:t xml:space="preserve">Keynes, J. M. (1936). </w:t>
      </w:r>
      <w:r>
        <w:rPr>
          <w:i/>
        </w:rPr>
        <w:t>The general theory of employment, interest and money</w:t>
      </w:r>
      <w:r>
        <w:t>. Macmillan.</w:t>
      </w:r>
    </w:p>
    <w:p w14:paraId="10E564BD" w14:textId="77777777" w:rsidR="00B27845" w:rsidRDefault="00000000">
      <w:pPr>
        <w:ind w:left="720" w:hanging="720"/>
      </w:pPr>
      <w:r>
        <w:lastRenderedPageBreak/>
        <w:t xml:space="preserve">McLeay, M., Radia, A., &amp; Thomas, R. (2014). Money creation in the modern economy. </w:t>
      </w:r>
      <w:r>
        <w:rPr>
          <w:i/>
        </w:rPr>
        <w:t>Bank of England Quarterly Bulletin</w:t>
      </w:r>
      <w:r>
        <w:t xml:space="preserve">, </w:t>
      </w:r>
      <w:r>
        <w:rPr>
          <w:i/>
        </w:rPr>
        <w:t>Q1</w:t>
      </w:r>
      <w:r>
        <w:t>, 14-27.</w:t>
      </w:r>
    </w:p>
    <w:p w14:paraId="4B566D3E" w14:textId="77777777" w:rsidR="00B27845" w:rsidRDefault="00000000">
      <w:pPr>
        <w:ind w:left="720" w:hanging="720"/>
      </w:pPr>
      <w:r>
        <w:t xml:space="preserve">Menger, C. (1892). On the origin of money. </w:t>
      </w:r>
      <w:r>
        <w:rPr>
          <w:i/>
        </w:rPr>
        <w:t>The Economic Journal</w:t>
      </w:r>
      <w:r>
        <w:t xml:space="preserve">, </w:t>
      </w:r>
      <w:r>
        <w:rPr>
          <w:i/>
        </w:rPr>
        <w:t>2</w:t>
      </w:r>
      <w:r>
        <w:t>(6), 239-255. https://doi.org/10.2307/2956146</w:t>
      </w:r>
    </w:p>
    <w:p w14:paraId="4DA9C168" w14:textId="77777777" w:rsidR="00B27845" w:rsidRDefault="00000000">
      <w:pPr>
        <w:ind w:left="720" w:hanging="720"/>
      </w:pPr>
      <w:r>
        <w:t xml:space="preserve">Nakamoto, S. (2008). </w:t>
      </w:r>
      <w:r>
        <w:rPr>
          <w:i/>
        </w:rPr>
        <w:t>Bitcoin: A peer-to-peer electronic cash system</w:t>
      </w:r>
      <w:r>
        <w:t>. https://bitcoin.org/bitcoin.pdf</w:t>
      </w:r>
    </w:p>
    <w:p w14:paraId="046DA37A" w14:textId="77777777" w:rsidR="00B27845" w:rsidRDefault="00000000">
      <w:pPr>
        <w:ind w:left="720" w:hanging="720"/>
      </w:pPr>
      <w:r>
        <w:t xml:space="preserve">Peffers, K., Tuunanen, T., Rothenberger, M. A., &amp; Chatterjee, S. (2007). A design science research methodology for information systems research. </w:t>
      </w:r>
      <w:r>
        <w:rPr>
          <w:i/>
        </w:rPr>
        <w:t>Journal of Management Information Systems</w:t>
      </w:r>
      <w:r>
        <w:t xml:space="preserve">, </w:t>
      </w:r>
      <w:r>
        <w:rPr>
          <w:i/>
        </w:rPr>
        <w:t>24</w:t>
      </w:r>
      <w:r>
        <w:t>(3), 45-77. https://doi.org/10.2753/MIS0742-1222240302</w:t>
      </w:r>
    </w:p>
    <w:p w14:paraId="7D2539FC" w14:textId="77777777" w:rsidR="00B27845" w:rsidRDefault="00000000">
      <w:pPr>
        <w:ind w:left="720" w:hanging="720"/>
      </w:pPr>
      <w:r>
        <w:t xml:space="preserve">Siddiqi, M. N. (1983). </w:t>
      </w:r>
      <w:r>
        <w:rPr>
          <w:i/>
        </w:rPr>
        <w:t>Banking without interest</w:t>
      </w:r>
      <w:r>
        <w:t>. Islamic Foundation.</w:t>
      </w:r>
    </w:p>
    <w:p w14:paraId="182E815E" w14:textId="77777777" w:rsidR="00B27845" w:rsidRDefault="00000000">
      <w:pPr>
        <w:ind w:left="720" w:hanging="720"/>
      </w:pPr>
      <w:r>
        <w:t xml:space="preserve">Usmani, M. T. (2002). </w:t>
      </w:r>
      <w:r>
        <w:rPr>
          <w:i/>
        </w:rPr>
        <w:t>An introduction to Islamic finance</w:t>
      </w:r>
      <w:r>
        <w:t>. Kluwer Law International.</w:t>
      </w:r>
    </w:p>
    <w:p w14:paraId="4B25C0B3" w14:textId="77777777" w:rsidR="00B27845" w:rsidRDefault="00000000">
      <w:pPr>
        <w:ind w:left="720" w:hanging="720"/>
      </w:pPr>
      <w:r>
        <w:t xml:space="preserve">Werner, R. A. (2014). Can banks individually create money out of nothing? The theories and the empirical evidence. </w:t>
      </w:r>
      <w:r>
        <w:rPr>
          <w:i/>
        </w:rPr>
        <w:t>International Review of Financial Analysis</w:t>
      </w:r>
      <w:r>
        <w:t xml:space="preserve">, </w:t>
      </w:r>
      <w:r>
        <w:rPr>
          <w:i/>
        </w:rPr>
        <w:t>36</w:t>
      </w:r>
      <w:r>
        <w:t>, 1-19. https://doi.org/10.1016/j.irfa.2014.07.015</w:t>
      </w:r>
    </w:p>
    <w:p w14:paraId="025E6CCC" w14:textId="77777777" w:rsidR="00B27845" w:rsidRDefault="00000000">
      <w:pPr>
        <w:ind w:left="720" w:hanging="720"/>
      </w:pPr>
      <w:r>
        <w:t xml:space="preserve">World Bank. (2021). </w:t>
      </w:r>
      <w:r>
        <w:rPr>
          <w:i/>
        </w:rPr>
        <w:t>The Global Findex Database 2021: Financial inclusion, digital payments, and resilience in the age of COVID-19</w:t>
      </w:r>
      <w:r>
        <w:t>. World Bank Group.</w:t>
      </w:r>
    </w:p>
    <w:p w14:paraId="7B807272" w14:textId="77777777" w:rsidR="00B27845" w:rsidRDefault="00000000">
      <w:pPr>
        <w:ind w:left="720" w:hanging="720"/>
      </w:pPr>
      <w:r>
        <w:t xml:space="preserve">World Bank. (2024). </w:t>
      </w:r>
      <w:r>
        <w:rPr>
          <w:i/>
        </w:rPr>
        <w:t>Remittance prices worldwide: Making markets more transparent</w:t>
      </w:r>
      <w:r>
        <w:t>. World Bank Group. https://remittanceprices.worldbank.org/</w:t>
      </w:r>
    </w:p>
    <w:sectPr w:rsidR="00B2784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96611">
    <w:abstractNumId w:val="8"/>
  </w:num>
  <w:num w:numId="2" w16cid:durableId="1652442672">
    <w:abstractNumId w:val="6"/>
  </w:num>
  <w:num w:numId="3" w16cid:durableId="1101488552">
    <w:abstractNumId w:val="5"/>
  </w:num>
  <w:num w:numId="4" w16cid:durableId="1973628766">
    <w:abstractNumId w:val="4"/>
  </w:num>
  <w:num w:numId="5" w16cid:durableId="1758820831">
    <w:abstractNumId w:val="7"/>
  </w:num>
  <w:num w:numId="6" w16cid:durableId="1653292001">
    <w:abstractNumId w:val="3"/>
  </w:num>
  <w:num w:numId="7" w16cid:durableId="985672197">
    <w:abstractNumId w:val="2"/>
  </w:num>
  <w:num w:numId="8" w16cid:durableId="753940402">
    <w:abstractNumId w:val="1"/>
  </w:num>
  <w:num w:numId="9" w16cid:durableId="1616399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398"/>
    <w:rsid w:val="0015074B"/>
    <w:rsid w:val="0029639D"/>
    <w:rsid w:val="00326F90"/>
    <w:rsid w:val="004C0CFC"/>
    <w:rsid w:val="005E03E7"/>
    <w:rsid w:val="008F6D5B"/>
    <w:rsid w:val="00955D9B"/>
    <w:rsid w:val="00AA1D8D"/>
    <w:rsid w:val="00B27845"/>
    <w:rsid w:val="00B47730"/>
    <w:rsid w:val="00CB0664"/>
    <w:rsid w:val="00DA5C4D"/>
    <w:rsid w:val="00F357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EE9F3"/>
  <w14:defaultImageDpi w14:val="300"/>
  <w15:docId w15:val="{42010DF3-FF6A-454C-886A-55E4A66A7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23</Pages>
  <Words>8039</Words>
  <Characters>45828</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Azim Abdul Majeed</cp:lastModifiedBy>
  <cp:revision>3</cp:revision>
  <dcterms:created xsi:type="dcterms:W3CDTF">2013-12-23T23:15:00Z</dcterms:created>
  <dcterms:modified xsi:type="dcterms:W3CDTF">2026-04-24T15:54:00Z</dcterms:modified>
  <cp:category/>
</cp:coreProperties>
</file>