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C736D" w14:textId="77777777" w:rsidR="00B46671" w:rsidRDefault="00000000">
      <w:pPr>
        <w:pStyle w:val="Heading1"/>
      </w:pPr>
      <w:bookmarkStart w:id="0" w:name="Xf2a3b3f49439ef9135568b132351289f2a5d3c1"/>
      <w:r>
        <w:rPr>
          <w:rFonts w:ascii="Times New Roman" w:hAnsi="Times New Roman" w:cs="Times New Roman"/>
        </w:rPr>
        <w:t xml:space="preserve">Mizan: A Primary-Source Diagnostic Framework for Evaluating Islamic Financial Instruments Against Classical </w:t>
      </w:r>
      <w:proofErr w:type="spellStart"/>
      <w:r>
        <w:rPr>
          <w:rFonts w:ascii="Times New Roman" w:hAnsi="Times New Roman" w:cs="Times New Roman"/>
        </w:rPr>
        <w:t>Ribawi</w:t>
      </w:r>
      <w:proofErr w:type="spellEnd"/>
      <w:r>
        <w:rPr>
          <w:rFonts w:ascii="Times New Roman" w:hAnsi="Times New Roman" w:cs="Times New Roman"/>
        </w:rPr>
        <w:t xml:space="preserve"> Characteristics</w:t>
      </w:r>
    </w:p>
    <w:p w14:paraId="4414C728" w14:textId="77777777" w:rsidR="00B46671" w:rsidRDefault="00000000">
      <w:pPr>
        <w:pStyle w:val="FirstParagraph"/>
      </w:pPr>
      <w:r>
        <w:rPr>
          <w:rFonts w:cs="Times New Roman"/>
          <w:b/>
          <w:bCs/>
        </w:rPr>
        <w:t>M. Azim Abdul Majeed</w:t>
      </w:r>
    </w:p>
    <w:p w14:paraId="6C2929F7" w14:textId="2732C24B" w:rsidR="00B46671" w:rsidRDefault="00000000">
      <w:pPr>
        <w:pStyle w:val="BodyText"/>
      </w:pPr>
      <w:r>
        <w:rPr>
          <w:rFonts w:cs="Times New Roman"/>
        </w:rPr>
        <w:t xml:space="preserve">Corresponding Author: </w:t>
      </w:r>
      <w:proofErr w:type="spellStart"/>
      <w:r w:rsidR="00CF28C1">
        <w:rPr>
          <w:rFonts w:cs="Times New Roman"/>
        </w:rPr>
        <w:t>azim@gxcoin.money</w:t>
      </w:r>
      <w:proofErr w:type="spellEnd"/>
    </w:p>
    <w:p w14:paraId="023BD0CF" w14:textId="77777777" w:rsidR="00B46671" w:rsidRDefault="00000000">
      <w:r>
        <w:rPr>
          <w:rFonts w:cs="Times New Roman"/>
        </w:rPr>
        <w:pict w14:anchorId="7DF5A8AE">
          <v:rect id="_x0000_i1025" style="width:0;height:1.5pt" o:hralign="center" o:hrstd="t" o:hr="t"/>
        </w:pict>
      </w:r>
    </w:p>
    <w:p w14:paraId="4BC65437" w14:textId="77777777" w:rsidR="00B46671" w:rsidRDefault="00000000">
      <w:pPr>
        <w:pStyle w:val="Heading2"/>
      </w:pPr>
      <w:bookmarkStart w:id="1" w:name="abstract"/>
      <w:r>
        <w:rPr>
          <w:rFonts w:ascii="Times New Roman" w:hAnsi="Times New Roman" w:cs="Times New Roman"/>
        </w:rPr>
        <w:t>Abstract</w:t>
      </w:r>
    </w:p>
    <w:p w14:paraId="1299929C" w14:textId="77777777" w:rsidR="00B46671" w:rsidRDefault="00000000">
      <w:pPr>
        <w:pStyle w:val="FirstParagraph"/>
      </w:pPr>
      <w:r>
        <w:rPr>
          <w:rFonts w:cs="Times New Roman"/>
          <w:b/>
          <w:bCs/>
        </w:rPr>
        <w:t>Purpose:</w:t>
      </w:r>
      <w:r>
        <w:rPr>
          <w:rFonts w:cs="Times New Roman"/>
        </w:rPr>
        <w:t xml:space="preserve"> This paper introduces Mizan, an open-access digital diagnostic tool that evaluates Islamic financial instruments against classical jurisprudential criteria derived exclusively from primary sources (Quran, Hadith, and classical scholarly texts). The tool addresses a critical gap in Islamic finance: the absence of a </w:t>
      </w:r>
      <w:proofErr w:type="spellStart"/>
      <w:r>
        <w:rPr>
          <w:rFonts w:cs="Times New Roman"/>
        </w:rPr>
        <w:t>standardised</w:t>
      </w:r>
      <w:proofErr w:type="spellEnd"/>
      <w:r>
        <w:rPr>
          <w:rFonts w:cs="Times New Roman"/>
        </w:rPr>
        <w:t>, transparent, source-traceable methodology for assessing Shariah compliance at the structural level rather than the transactional level.</w:t>
      </w:r>
    </w:p>
    <w:p w14:paraId="289A1FDF" w14:textId="77777777" w:rsidR="00B46671" w:rsidRDefault="00000000">
      <w:pPr>
        <w:pStyle w:val="BodyText"/>
      </w:pPr>
      <w:r>
        <w:rPr>
          <w:rFonts w:cs="Times New Roman"/>
          <w:b/>
          <w:bCs/>
        </w:rPr>
        <w:t>Design/Methodology:</w:t>
      </w:r>
      <w:r>
        <w:rPr>
          <w:rFonts w:cs="Times New Roman"/>
        </w:rPr>
        <w:t xml:space="preserve"> Adopting a Design Science Research (DSR) paradigm, the diagnostic framework is constructed through a three-stage process: (1) linguistic and juridical analysis of the Arabic roots of Riba, </w:t>
      </w:r>
      <w:proofErr w:type="spellStart"/>
      <w:r>
        <w:rPr>
          <w:rFonts w:cs="Times New Roman"/>
        </w:rPr>
        <w:t>Qard</w:t>
      </w:r>
      <w:proofErr w:type="spellEnd"/>
      <w:r>
        <w:rPr>
          <w:rFonts w:cs="Times New Roman"/>
        </w:rPr>
        <w:t xml:space="preserve">, Dayn, and Bay’; (2) derivation of seven measurable characteristics of </w:t>
      </w:r>
      <w:proofErr w:type="spellStart"/>
      <w:r>
        <w:rPr>
          <w:rFonts w:cs="Times New Roman"/>
        </w:rPr>
        <w:t>ribawi</w:t>
      </w:r>
      <w:proofErr w:type="spellEnd"/>
      <w:r>
        <w:rPr>
          <w:rFonts w:cs="Times New Roman"/>
        </w:rPr>
        <w:t xml:space="preserve"> commodities from the Hadith of Riba al-Fadl; and (3) implementation as an interactive, rule-based diagnostic engine that routes users through structured questions and returns findings with primary-source citations. The tool introduces a dual-track analytical path that explicitly surfaces the unresolved scholarly question of whether fiat currency satisfies classical </w:t>
      </w:r>
      <w:proofErr w:type="spellStart"/>
      <w:r>
        <w:rPr>
          <w:rFonts w:cs="Times New Roman"/>
        </w:rPr>
        <w:t>ribawi</w:t>
      </w:r>
      <w:proofErr w:type="spellEnd"/>
      <w:r>
        <w:rPr>
          <w:rFonts w:cs="Times New Roman"/>
        </w:rPr>
        <w:t xml:space="preserve"> criteria.</w:t>
      </w:r>
    </w:p>
    <w:p w14:paraId="3BC58681" w14:textId="77777777" w:rsidR="00B46671" w:rsidRDefault="00000000">
      <w:pPr>
        <w:pStyle w:val="BodyText"/>
      </w:pPr>
      <w:r>
        <w:rPr>
          <w:rFonts w:cs="Times New Roman"/>
          <w:b/>
          <w:bCs/>
        </w:rPr>
        <w:t>Findings:</w:t>
      </w:r>
      <w:r>
        <w:rPr>
          <w:rFonts w:cs="Times New Roman"/>
        </w:rPr>
        <w:t xml:space="preserve"> Systematic application of the seven </w:t>
      </w:r>
      <w:proofErr w:type="spellStart"/>
      <w:r>
        <w:rPr>
          <w:rFonts w:cs="Times New Roman"/>
        </w:rPr>
        <w:t>ribawi</w:t>
      </w:r>
      <w:proofErr w:type="spellEnd"/>
      <w:r>
        <w:rPr>
          <w:rFonts w:cs="Times New Roman"/>
        </w:rPr>
        <w:t xml:space="preserve"> characteristics to modern financial mediums reveals that fiat currency fails all seven criteria, while commodity-based mediums satisfy most. The diagnostic framework successfully evaluates common financial products, including conventional mortgages, Islamic home financing structures, </w:t>
      </w:r>
      <w:proofErr w:type="spellStart"/>
      <w:r>
        <w:rPr>
          <w:rFonts w:cs="Times New Roman"/>
        </w:rPr>
        <w:t>organised</w:t>
      </w:r>
      <w:proofErr w:type="spellEnd"/>
      <w:r>
        <w:rPr>
          <w:rFonts w:cs="Times New Roman"/>
        </w:rPr>
        <w:t xml:space="preserve"> </w:t>
      </w:r>
      <w:proofErr w:type="spellStart"/>
      <w:r>
        <w:rPr>
          <w:rFonts w:cs="Times New Roman"/>
        </w:rPr>
        <w:t>Tawarruq</w:t>
      </w:r>
      <w:proofErr w:type="spellEnd"/>
      <w:r>
        <w:rPr>
          <w:rFonts w:cs="Times New Roman"/>
        </w:rPr>
        <w:t>, and cryptocurrency instruments, producing source-traceable assessments without institutional opinion.</w:t>
      </w:r>
    </w:p>
    <w:p w14:paraId="23C5CA32" w14:textId="77777777" w:rsidR="00B46671" w:rsidRDefault="00000000">
      <w:pPr>
        <w:pStyle w:val="BodyText"/>
      </w:pPr>
      <w:r>
        <w:rPr>
          <w:rFonts w:cs="Times New Roman"/>
          <w:b/>
          <w:bCs/>
        </w:rPr>
        <w:t>Originality:</w:t>
      </w:r>
      <w:r>
        <w:rPr>
          <w:rFonts w:cs="Times New Roman"/>
        </w:rPr>
        <w:t xml:space="preserve"> Mizan is the first diagnostic tool to (a) derive evaluation criteria exclusively from primary sources, (b) implement a measurable </w:t>
      </w:r>
      <w:proofErr w:type="spellStart"/>
      <w:r>
        <w:rPr>
          <w:rFonts w:cs="Times New Roman"/>
        </w:rPr>
        <w:t>ribawi</w:t>
      </w:r>
      <w:proofErr w:type="spellEnd"/>
      <w:r>
        <w:rPr>
          <w:rFonts w:cs="Times New Roman"/>
        </w:rPr>
        <w:t xml:space="preserve"> characteristics grid across multiple mediums, (c) incorporate a form-versus-substance “strip test” based on Ibn Qayyim al-</w:t>
      </w:r>
      <w:proofErr w:type="spellStart"/>
      <w:r>
        <w:rPr>
          <w:rFonts w:cs="Times New Roman"/>
        </w:rPr>
        <w:t>Jawziyyah</w:t>
      </w:r>
      <w:proofErr w:type="spellEnd"/>
      <w:r>
        <w:rPr>
          <w:rFonts w:cs="Times New Roman"/>
        </w:rPr>
        <w:t xml:space="preserve"> and Ibn Taymiyyah, and (d) present two analytical tracks that make the fiat currency question explicit rather than assumed.</w:t>
      </w:r>
    </w:p>
    <w:p w14:paraId="75EAB701" w14:textId="77777777" w:rsidR="00B46671" w:rsidRDefault="00000000">
      <w:pPr>
        <w:pStyle w:val="BodyText"/>
      </w:pPr>
      <w:r>
        <w:rPr>
          <w:rFonts w:cs="Times New Roman"/>
          <w:b/>
          <w:bCs/>
        </w:rPr>
        <w:lastRenderedPageBreak/>
        <w:t>Practical Implications:</w:t>
      </w:r>
      <w:r>
        <w:rPr>
          <w:rFonts w:cs="Times New Roman"/>
        </w:rPr>
        <w:t xml:space="preserve"> The framework offers regulators, practitioners, and researchers a transparent, reproducible methodology for Shariah compliance evaluation that does not depend on institutional consensus, while preserving the primacy of qualified scholarly interpretation.</w:t>
      </w:r>
    </w:p>
    <w:p w14:paraId="487B8F35" w14:textId="77777777" w:rsidR="00B46671" w:rsidRDefault="00000000">
      <w:pPr>
        <w:pStyle w:val="BodyText"/>
      </w:pPr>
      <w:r>
        <w:rPr>
          <w:rFonts w:cs="Times New Roman"/>
          <w:b/>
          <w:bCs/>
        </w:rPr>
        <w:t>Keywords:</w:t>
      </w:r>
      <w:r>
        <w:rPr>
          <w:rFonts w:cs="Times New Roman"/>
        </w:rPr>
        <w:t xml:space="preserve"> Islamic FinTech, Shariah compliance, Riba, </w:t>
      </w:r>
      <w:proofErr w:type="spellStart"/>
      <w:r>
        <w:rPr>
          <w:rFonts w:cs="Times New Roman"/>
        </w:rPr>
        <w:t>ribawi</w:t>
      </w:r>
      <w:proofErr w:type="spellEnd"/>
      <w:r>
        <w:rPr>
          <w:rFonts w:cs="Times New Roman"/>
        </w:rPr>
        <w:t xml:space="preserve"> characteristics, digital diagnostics, fiat currency</w:t>
      </w:r>
    </w:p>
    <w:p w14:paraId="4731C92F" w14:textId="77777777" w:rsidR="00B46671" w:rsidRDefault="00000000">
      <w:r>
        <w:rPr>
          <w:rFonts w:cs="Times New Roman"/>
        </w:rPr>
        <w:pict w14:anchorId="54550589">
          <v:rect id="_x0000_i1026" style="width:0;height:1.5pt" o:hralign="center" o:hrstd="t" o:hr="t"/>
        </w:pict>
      </w:r>
    </w:p>
    <w:p w14:paraId="5BFFDD40" w14:textId="77777777" w:rsidR="00B46671" w:rsidRDefault="00000000">
      <w:pPr>
        <w:pStyle w:val="Heading2"/>
      </w:pPr>
      <w:bookmarkStart w:id="2" w:name="introduction"/>
      <w:bookmarkEnd w:id="1"/>
      <w:r>
        <w:rPr>
          <w:rFonts w:ascii="Times New Roman" w:hAnsi="Times New Roman" w:cs="Times New Roman"/>
        </w:rPr>
        <w:t>1. Introduction</w:t>
      </w:r>
    </w:p>
    <w:p w14:paraId="01D7BD8A" w14:textId="77777777" w:rsidR="00B46671" w:rsidRDefault="00000000">
      <w:pPr>
        <w:pStyle w:val="Heading3"/>
      </w:pPr>
      <w:bookmarkStart w:id="3" w:name="the-problem"/>
      <w:r>
        <w:rPr>
          <w:rFonts w:cs="Times New Roman"/>
        </w:rPr>
        <w:t>1.1 The Problem</w:t>
      </w:r>
    </w:p>
    <w:p w14:paraId="4C8F1014" w14:textId="77777777" w:rsidR="00B46671" w:rsidRDefault="00000000">
      <w:pPr>
        <w:pStyle w:val="FirstParagraph"/>
      </w:pPr>
      <w:r>
        <w:rPr>
          <w:rFonts w:cs="Times New Roman"/>
        </w:rPr>
        <w:t>The contemporary Islamic finance industry, valued at over USD 4 trillion in assets (Islamic Financial Services Board [IFSB], 2024), relies on Shariah compliance mechanisms that are fundamentally opinion-based. Individual Shariah boards, composed of qualified scholars, review financial products and issue rulings that vary across jurisdictions, institutions, and even time periods. The same product structure may receive approval from one board and rejection from another. The methodology underlying these rulings is rarely published in a form that external researchers or practitioners can independently verify.</w:t>
      </w:r>
    </w:p>
    <w:p w14:paraId="2768AAE8" w14:textId="77777777" w:rsidR="00B46671" w:rsidRDefault="00000000">
      <w:pPr>
        <w:pStyle w:val="BodyText"/>
      </w:pPr>
      <w:r>
        <w:rPr>
          <w:rFonts w:cs="Times New Roman"/>
        </w:rPr>
        <w:t>This is not a criticism of the scholars involved. It is an observation about the structure of the compliance ecosystem itself. When the analytical methodology is opaque, the industry’s credibility depends entirely on the authority of the individuals rather than the transparency of the process. This creates three problems. First, practitioners cannot independently verify whether a product satisfies the primary-source criteria for permissibility. Second, researchers cannot reproduce the analysis or test it against alternative products. Third, the open questions within Islamic jurisprudence, particularly regarding modern financial mediums, are rarely surfaced explicitly, and are instead resolved through institutional consensus without transparent engagement with the evidence.</w:t>
      </w:r>
    </w:p>
    <w:p w14:paraId="75715660" w14:textId="77777777" w:rsidR="00B46671" w:rsidRDefault="00000000">
      <w:pPr>
        <w:pStyle w:val="Heading3"/>
      </w:pPr>
      <w:bookmarkStart w:id="4" w:name="the-gap-in-islamic-fintech"/>
      <w:bookmarkEnd w:id="3"/>
      <w:r>
        <w:rPr>
          <w:rFonts w:cs="Times New Roman"/>
        </w:rPr>
        <w:t>1.2 The Gap in Islamic FinTech</w:t>
      </w:r>
    </w:p>
    <w:p w14:paraId="180BA7C0" w14:textId="77777777" w:rsidR="00B46671" w:rsidRDefault="00000000">
      <w:pPr>
        <w:pStyle w:val="FirstParagraph"/>
      </w:pPr>
      <w:r>
        <w:rPr>
          <w:rFonts w:cs="Times New Roman"/>
        </w:rPr>
        <w:t xml:space="preserve">The growth of Islamic FinTech has been substantial. Digital Islamic banking platforms, blockchain-based Sukuk issuance, Islamic </w:t>
      </w:r>
      <w:proofErr w:type="spellStart"/>
      <w:r>
        <w:rPr>
          <w:rFonts w:cs="Times New Roman"/>
        </w:rPr>
        <w:t>robo</w:t>
      </w:r>
      <w:proofErr w:type="spellEnd"/>
      <w:r>
        <w:rPr>
          <w:rFonts w:cs="Times New Roman"/>
        </w:rPr>
        <w:t xml:space="preserve">-advisory services, and peer-to-peer lending platforms compliant with Shariah principles have emerged across multiple jurisdictions (Biancone et al., 2020). However, a review of the existing landscape reveals a consistent pattern: FinTech innovation in Islamic finance has focused on </w:t>
      </w:r>
      <w:proofErr w:type="spellStart"/>
      <w:r>
        <w:rPr>
          <w:rFonts w:cs="Times New Roman"/>
        </w:rPr>
        <w:t>digitising</w:t>
      </w:r>
      <w:proofErr w:type="spellEnd"/>
      <w:r>
        <w:rPr>
          <w:rFonts w:cs="Times New Roman"/>
        </w:rPr>
        <w:t xml:space="preserve"> financial products, not on </w:t>
      </w:r>
      <w:proofErr w:type="spellStart"/>
      <w:r>
        <w:rPr>
          <w:rFonts w:cs="Times New Roman"/>
        </w:rPr>
        <w:t>digitising</w:t>
      </w:r>
      <w:proofErr w:type="spellEnd"/>
      <w:r>
        <w:rPr>
          <w:rFonts w:cs="Times New Roman"/>
        </w:rPr>
        <w:t xml:space="preserve"> the analytical methodology that determines whether those products are permissible.</w:t>
      </w:r>
    </w:p>
    <w:p w14:paraId="122F226E" w14:textId="77777777" w:rsidR="00B46671" w:rsidRDefault="00000000">
      <w:pPr>
        <w:pStyle w:val="BodyText"/>
      </w:pPr>
      <w:r>
        <w:rPr>
          <w:rFonts w:cs="Times New Roman"/>
        </w:rPr>
        <w:lastRenderedPageBreak/>
        <w:t>Existing digital tools for Islamic finance include halal stock screeners (which apply financial ratio thresholds such as debt-to-equity limits), Zakat calculators, and product comparison platforms. These tools address important needs, but they do not engage with the foundational jurisprudential question: does a given financial arrangement, stripped to its economic substance, contain Riba?</w:t>
      </w:r>
    </w:p>
    <w:p w14:paraId="354899D9" w14:textId="77777777" w:rsidR="00B46671" w:rsidRDefault="00000000">
      <w:pPr>
        <w:pStyle w:val="BodyText"/>
      </w:pPr>
      <w:r>
        <w:rPr>
          <w:rFonts w:cs="Times New Roman"/>
        </w:rPr>
        <w:t xml:space="preserve">No existing tool derives its evaluation criteria exclusively from primary sources, makes the derivation chain visible to the user, or explicitly addresses the unresolved question of whether modern fiat currency satisfies the classical </w:t>
      </w:r>
      <w:proofErr w:type="spellStart"/>
      <w:r>
        <w:rPr>
          <w:rFonts w:cs="Times New Roman"/>
        </w:rPr>
        <w:t>ribawi</w:t>
      </w:r>
      <w:proofErr w:type="spellEnd"/>
      <w:r>
        <w:rPr>
          <w:rFonts w:cs="Times New Roman"/>
        </w:rPr>
        <w:t xml:space="preserve"> criteria that define which items are subject to the prohibition of Riba.</w:t>
      </w:r>
    </w:p>
    <w:p w14:paraId="3D42E30A" w14:textId="77777777" w:rsidR="00B46671" w:rsidRDefault="00000000">
      <w:pPr>
        <w:pStyle w:val="Heading3"/>
      </w:pPr>
      <w:bookmarkStart w:id="5" w:name="research-objective"/>
      <w:bookmarkEnd w:id="4"/>
      <w:r>
        <w:rPr>
          <w:rFonts w:cs="Times New Roman"/>
        </w:rPr>
        <w:t>1.3 Research Objective</w:t>
      </w:r>
    </w:p>
    <w:p w14:paraId="4A0CBBDE" w14:textId="77777777" w:rsidR="00B46671" w:rsidRDefault="00000000">
      <w:pPr>
        <w:pStyle w:val="FirstParagraph"/>
      </w:pPr>
      <w:r>
        <w:rPr>
          <w:rFonts w:cs="Times New Roman"/>
        </w:rPr>
        <w:t xml:space="preserve">This paper presents Mizan, an open-access, browser-based diagnostic tool that shifts Shariah compliance evaluation from an opinion-dependent process to an evidence-traceable one. The specific objectives are threefold: to demonstrate how primary-source derivation of evaluation criteria can be </w:t>
      </w:r>
      <w:proofErr w:type="spellStart"/>
      <w:r>
        <w:rPr>
          <w:rFonts w:cs="Times New Roman"/>
        </w:rPr>
        <w:t>operationalised</w:t>
      </w:r>
      <w:proofErr w:type="spellEnd"/>
      <w:r>
        <w:rPr>
          <w:rFonts w:cs="Times New Roman"/>
        </w:rPr>
        <w:t xml:space="preserve"> into a digital diagnostic; to present the </w:t>
      </w:r>
      <w:proofErr w:type="spellStart"/>
      <w:r>
        <w:rPr>
          <w:rFonts w:cs="Times New Roman"/>
        </w:rPr>
        <w:t>ribawi</w:t>
      </w:r>
      <w:proofErr w:type="spellEnd"/>
      <w:r>
        <w:rPr>
          <w:rFonts w:cs="Times New Roman"/>
        </w:rPr>
        <w:t xml:space="preserve"> characteristics grid as a measurable, reproducible evaluation methodology applicable across financial mediums; and to evaluate the framework’s diagnostic output against representative financial instruments.</w:t>
      </w:r>
    </w:p>
    <w:p w14:paraId="65900731" w14:textId="77777777" w:rsidR="00B46671" w:rsidRDefault="00000000">
      <w:pPr>
        <w:pStyle w:val="Heading3"/>
      </w:pPr>
      <w:bookmarkStart w:id="6" w:name="contribution"/>
      <w:bookmarkEnd w:id="5"/>
      <w:r>
        <w:rPr>
          <w:rFonts w:cs="Times New Roman"/>
        </w:rPr>
        <w:t>1.4 Contribution</w:t>
      </w:r>
    </w:p>
    <w:p w14:paraId="6170D0F2" w14:textId="77777777" w:rsidR="00B46671" w:rsidRDefault="00000000">
      <w:pPr>
        <w:pStyle w:val="FirstParagraph"/>
      </w:pPr>
      <w:r>
        <w:rPr>
          <w:rFonts w:cs="Times New Roman"/>
        </w:rPr>
        <w:t xml:space="preserve">This paper contributes to the Islamic FinTech literature in four ways. First, it presents the first open-access diagnostic tool whose evaluation criteria are derived exclusively from primary sources (Quran, Hadith, and classical scholarly texts), with every finding linked to a specific citation. Second, it introduces a measurable </w:t>
      </w:r>
      <w:proofErr w:type="spellStart"/>
      <w:r>
        <w:rPr>
          <w:rFonts w:cs="Times New Roman"/>
        </w:rPr>
        <w:t>ribawi</w:t>
      </w:r>
      <w:proofErr w:type="spellEnd"/>
      <w:r>
        <w:rPr>
          <w:rFonts w:cs="Times New Roman"/>
        </w:rPr>
        <w:t xml:space="preserve"> characteristics grid that evaluates financial mediums against seven criteria derived from the Hadith of Riba al-Fadl. Third, it </w:t>
      </w:r>
      <w:proofErr w:type="spellStart"/>
      <w:r>
        <w:rPr>
          <w:rFonts w:cs="Times New Roman"/>
        </w:rPr>
        <w:t>operationalises</w:t>
      </w:r>
      <w:proofErr w:type="spellEnd"/>
      <w:r>
        <w:rPr>
          <w:rFonts w:cs="Times New Roman"/>
        </w:rPr>
        <w:t xml:space="preserve"> the form-versus-substance analysis of Ibn Qayyim al-</w:t>
      </w:r>
      <w:proofErr w:type="spellStart"/>
      <w:r>
        <w:rPr>
          <w:rFonts w:cs="Times New Roman"/>
        </w:rPr>
        <w:t>Jawziyyah</w:t>
      </w:r>
      <w:proofErr w:type="spellEnd"/>
      <w:r>
        <w:rPr>
          <w:rFonts w:cs="Times New Roman"/>
        </w:rPr>
        <w:t xml:space="preserve"> and Ibn Taymiyyah as a structured diagnostic question (the “strip test”). Fourth, it introduces a dual-track analytical framework that makes the fiat currency question explicit, allowing users to evaluate financial instruments under both the mainstream scholarly position and the primary-source analytical framework without imposing either position.</w:t>
      </w:r>
    </w:p>
    <w:p w14:paraId="400CAE34" w14:textId="77777777" w:rsidR="00B46671" w:rsidRDefault="00000000">
      <w:r>
        <w:rPr>
          <w:rFonts w:cs="Times New Roman"/>
        </w:rPr>
        <w:pict w14:anchorId="5CC22904">
          <v:rect id="_x0000_i1027" style="width:0;height:1.5pt" o:hralign="center" o:hrstd="t" o:hr="t"/>
        </w:pict>
      </w:r>
    </w:p>
    <w:p w14:paraId="4183D602" w14:textId="77777777" w:rsidR="00B46671" w:rsidRDefault="00000000">
      <w:pPr>
        <w:pStyle w:val="Heading2"/>
      </w:pPr>
      <w:bookmarkStart w:id="7" w:name="literature-review"/>
      <w:bookmarkEnd w:id="2"/>
      <w:bookmarkEnd w:id="6"/>
      <w:r>
        <w:rPr>
          <w:rFonts w:ascii="Times New Roman" w:hAnsi="Times New Roman" w:cs="Times New Roman"/>
        </w:rPr>
        <w:t>2. Literature Review</w:t>
      </w:r>
    </w:p>
    <w:p w14:paraId="79B5F1C0" w14:textId="77777777" w:rsidR="00B46671" w:rsidRDefault="00000000">
      <w:pPr>
        <w:pStyle w:val="Heading3"/>
      </w:pPr>
      <w:bookmarkStart w:id="8" w:name="X7cb074533ee9f3228188ea41ed3ccc5d88a03b8"/>
      <w:r>
        <w:rPr>
          <w:rFonts w:cs="Times New Roman"/>
        </w:rPr>
        <w:t>2.1 Shariah Compliance Screening: Current Approaches</w:t>
      </w:r>
    </w:p>
    <w:p w14:paraId="54084996" w14:textId="77777777" w:rsidR="00B46671" w:rsidRDefault="00000000">
      <w:pPr>
        <w:pStyle w:val="FirstParagraph"/>
      </w:pPr>
      <w:r>
        <w:rPr>
          <w:rFonts w:cs="Times New Roman"/>
        </w:rPr>
        <w:t xml:space="preserve">Contemporary Shariah screening operates primarily through two mechanisms: qualitative Shariah board review and quantitative financial ratio screening. The qualitative process involves scholars examining the </w:t>
      </w:r>
      <w:r>
        <w:rPr>
          <w:rFonts w:cs="Times New Roman"/>
        </w:rPr>
        <w:lastRenderedPageBreak/>
        <w:t xml:space="preserve">structure of a financial product against established </w:t>
      </w:r>
      <w:proofErr w:type="spellStart"/>
      <w:r>
        <w:rPr>
          <w:rFonts w:cs="Times New Roman"/>
        </w:rPr>
        <w:t>fiqhi</w:t>
      </w:r>
      <w:proofErr w:type="spellEnd"/>
      <w:r>
        <w:rPr>
          <w:rFonts w:cs="Times New Roman"/>
        </w:rPr>
        <w:t xml:space="preserve"> principles and issuing a ruling. The Accounting and Auditing Organization for Islamic Financial Institutions (AAOIFI) has published Shariah standards covering over 60 product categories, providing a degree of </w:t>
      </w:r>
      <w:proofErr w:type="spellStart"/>
      <w:r>
        <w:rPr>
          <w:rFonts w:cs="Times New Roman"/>
        </w:rPr>
        <w:t>standardisation</w:t>
      </w:r>
      <w:proofErr w:type="spellEnd"/>
      <w:r>
        <w:rPr>
          <w:rFonts w:cs="Times New Roman"/>
        </w:rPr>
        <w:t xml:space="preserve"> (AAOIFI, 2023). The Islamic Financial Services Board (IFSB) has similarly issued guiding principles for Shariah governance systems.</w:t>
      </w:r>
    </w:p>
    <w:p w14:paraId="5CFBDCA0" w14:textId="77777777" w:rsidR="00B46671" w:rsidRDefault="00000000">
      <w:pPr>
        <w:pStyle w:val="BodyText"/>
      </w:pPr>
      <w:r>
        <w:rPr>
          <w:rFonts w:cs="Times New Roman"/>
        </w:rPr>
        <w:t>Quantitative screening, used primarily for equity investments, applies financial ratio thresholds to determine permissibility. The Dow Jones Islamic Market Index, the S&amp;P Shariah Index, and the MSCI Islamic Index each apply variations of debt-to-equity ratios, interest income thresholds, and sector exclusions (Derigs &amp; Marzban, 2008). These thresholds vary across providers: the maximum permissible debt-to-equity ratio ranges from 30% to 33% depending on the screening methodology, and the maximum interest income threshold ranges from 5% to 10% (Hassan et al., 2019).</w:t>
      </w:r>
    </w:p>
    <w:p w14:paraId="454BDDDC" w14:textId="77777777" w:rsidR="00B46671" w:rsidRDefault="00000000">
      <w:pPr>
        <w:pStyle w:val="BodyText"/>
      </w:pPr>
      <w:r>
        <w:rPr>
          <w:rFonts w:cs="Times New Roman"/>
        </w:rPr>
        <w:t xml:space="preserve">Both approaches share a common limitation: they address the transactional surface of financial arrangements without engaging with the structural question of whether the monetary medium itself satisfies the criteria that trigger </w:t>
      </w:r>
      <w:proofErr w:type="spellStart"/>
      <w:r>
        <w:rPr>
          <w:rFonts w:cs="Times New Roman"/>
        </w:rPr>
        <w:t>ribawi</w:t>
      </w:r>
      <w:proofErr w:type="spellEnd"/>
      <w:r>
        <w:rPr>
          <w:rFonts w:cs="Times New Roman"/>
        </w:rPr>
        <w:t xml:space="preserve"> rules. A conventional mortgage and a </w:t>
      </w:r>
      <w:proofErr w:type="spellStart"/>
      <w:r>
        <w:rPr>
          <w:rFonts w:cs="Times New Roman"/>
        </w:rPr>
        <w:t>Murabahah</w:t>
      </w:r>
      <w:proofErr w:type="spellEnd"/>
      <w:r>
        <w:rPr>
          <w:rFonts w:cs="Times New Roman"/>
        </w:rPr>
        <w:t xml:space="preserve"> home financing arrangement may receive different Shariah classifications, despite both being denominated in a currency that enters existence through interest-bearing debt. The screening methodology addresses the product; it does not address the system.</w:t>
      </w:r>
    </w:p>
    <w:p w14:paraId="0A8B24CE" w14:textId="77777777" w:rsidR="00B46671" w:rsidRDefault="00000000">
      <w:pPr>
        <w:pStyle w:val="Heading3"/>
      </w:pPr>
      <w:bookmarkStart w:id="9" w:name="islamic-fintech-state-of-the-field"/>
      <w:bookmarkEnd w:id="8"/>
      <w:r>
        <w:rPr>
          <w:rFonts w:cs="Times New Roman"/>
        </w:rPr>
        <w:t>2.2 Islamic FinTech: State of the Field</w:t>
      </w:r>
    </w:p>
    <w:p w14:paraId="170FAB2F" w14:textId="77777777" w:rsidR="00B46671" w:rsidRDefault="00000000">
      <w:pPr>
        <w:pStyle w:val="FirstParagraph"/>
      </w:pPr>
      <w:r>
        <w:rPr>
          <w:rFonts w:cs="Times New Roman"/>
        </w:rPr>
        <w:t xml:space="preserve">The Islamic FinTech sector has grown rapidly. Biancone et al. (2020) documented the emergence of over 100 Islamic FinTech firms globally, concentrated in Malaysia, Indonesia, Bahrain, and the United Arab Emirates. Key innovation areas include digital banking (with fully Shariah-compliant neobanks), blockchain-based Sukuk (Noman, 2025), peer-to-peer crowdfunding platforms structured as </w:t>
      </w:r>
      <w:proofErr w:type="spellStart"/>
      <w:r>
        <w:rPr>
          <w:rFonts w:cs="Times New Roman"/>
        </w:rPr>
        <w:t>Musharakah</w:t>
      </w:r>
      <w:proofErr w:type="spellEnd"/>
      <w:r>
        <w:rPr>
          <w:rFonts w:cs="Times New Roman"/>
        </w:rPr>
        <w:t xml:space="preserve">, and </w:t>
      </w:r>
      <w:proofErr w:type="spellStart"/>
      <w:r>
        <w:rPr>
          <w:rFonts w:cs="Times New Roman"/>
        </w:rPr>
        <w:t>robo</w:t>
      </w:r>
      <w:proofErr w:type="spellEnd"/>
      <w:r>
        <w:rPr>
          <w:rFonts w:cs="Times New Roman"/>
        </w:rPr>
        <w:t>-advisory services that apply Shariah screens to portfolio construction.</w:t>
      </w:r>
    </w:p>
    <w:p w14:paraId="4F26F454" w14:textId="77777777" w:rsidR="00B46671" w:rsidRDefault="00000000">
      <w:pPr>
        <w:pStyle w:val="BodyText"/>
      </w:pPr>
      <w:r>
        <w:rPr>
          <w:rFonts w:cs="Times New Roman"/>
        </w:rPr>
        <w:t xml:space="preserve">Alam et al. (2022) noted that while these innovations expand access to Islamic financial services, they largely replicate conventional FinTech models with Shariah-compliant wrappers. The underlying analytical methodology remains unchanged: products are designed, then submitted for Shariah review. FinTech has accelerated the delivery of Islamic financial products but has not </w:t>
      </w:r>
      <w:proofErr w:type="spellStart"/>
      <w:r>
        <w:rPr>
          <w:rFonts w:cs="Times New Roman"/>
        </w:rPr>
        <w:t>digitised</w:t>
      </w:r>
      <w:proofErr w:type="spellEnd"/>
      <w:r>
        <w:rPr>
          <w:rFonts w:cs="Times New Roman"/>
        </w:rPr>
        <w:t xml:space="preserve"> the jurisprudential reasoning that determines their permissibility.</w:t>
      </w:r>
    </w:p>
    <w:p w14:paraId="24781495" w14:textId="77777777" w:rsidR="00B46671" w:rsidRDefault="00000000">
      <w:pPr>
        <w:pStyle w:val="BodyText"/>
      </w:pPr>
      <w:r>
        <w:rPr>
          <w:rFonts w:cs="Times New Roman"/>
        </w:rPr>
        <w:t>This paper argues that the next frontier for Islamic FinTech is not product innovation but methodology innovation: making the analytical framework itself transparent, reproducible, and digitally accessible.</w:t>
      </w:r>
    </w:p>
    <w:p w14:paraId="2DBA5858" w14:textId="77777777" w:rsidR="00B46671" w:rsidRDefault="00000000">
      <w:pPr>
        <w:pStyle w:val="Heading3"/>
      </w:pPr>
      <w:bookmarkStart w:id="10" w:name="the-ribawi-classification-question"/>
      <w:bookmarkEnd w:id="9"/>
      <w:r>
        <w:rPr>
          <w:rFonts w:cs="Times New Roman"/>
        </w:rPr>
        <w:lastRenderedPageBreak/>
        <w:t xml:space="preserve">2.3 The </w:t>
      </w:r>
      <w:proofErr w:type="spellStart"/>
      <w:r>
        <w:rPr>
          <w:rFonts w:cs="Times New Roman"/>
        </w:rPr>
        <w:t>Ribawi</w:t>
      </w:r>
      <w:proofErr w:type="spellEnd"/>
      <w:r>
        <w:rPr>
          <w:rFonts w:cs="Times New Roman"/>
        </w:rPr>
        <w:t xml:space="preserve"> Classification Question</w:t>
      </w:r>
    </w:p>
    <w:p w14:paraId="60DBF4FE" w14:textId="77777777" w:rsidR="00B46671" w:rsidRDefault="00000000">
      <w:pPr>
        <w:pStyle w:val="FirstParagraph"/>
      </w:pPr>
      <w:r>
        <w:rPr>
          <w:rFonts w:cs="Times New Roman"/>
        </w:rPr>
        <w:t xml:space="preserve">The Hadith of Riba al-Fadl, narrated in Sahih Muslim (1587) and Sahih al-Bukhari (2070), identifies six items subject to </w:t>
      </w:r>
      <w:proofErr w:type="spellStart"/>
      <w:r>
        <w:rPr>
          <w:rFonts w:cs="Times New Roman"/>
        </w:rPr>
        <w:t>ribawi</w:t>
      </w:r>
      <w:proofErr w:type="spellEnd"/>
      <w:r>
        <w:rPr>
          <w:rFonts w:cs="Times New Roman"/>
        </w:rPr>
        <w:t xml:space="preserve"> rules: gold, silver, wheat, barley, dates, and salt. The Prophet (peace be upon him) instructed: “Gold for gold, silver for silver, wheat for wheat, barley for barley, dates for dates, salt for salt, like for like, equal for equal, hand to hand. If the types differ, then sell as you wish, provided it is hand to hand.”</w:t>
      </w:r>
    </w:p>
    <w:p w14:paraId="7152A9FC" w14:textId="77777777" w:rsidR="00B46671" w:rsidRDefault="00000000">
      <w:pPr>
        <w:pStyle w:val="BodyText"/>
      </w:pPr>
      <w:r>
        <w:rPr>
          <w:rFonts w:cs="Times New Roman"/>
        </w:rPr>
        <w:t>Classical scholars identified the ’</w:t>
      </w:r>
      <w:proofErr w:type="spellStart"/>
      <w:r>
        <w:rPr>
          <w:rFonts w:cs="Times New Roman"/>
        </w:rPr>
        <w:t>illah</w:t>
      </w:r>
      <w:proofErr w:type="spellEnd"/>
      <w:r>
        <w:rPr>
          <w:rFonts w:cs="Times New Roman"/>
        </w:rPr>
        <w:t xml:space="preserve"> (effective cause) that makes these six items subject to </w:t>
      </w:r>
      <w:proofErr w:type="spellStart"/>
      <w:r>
        <w:rPr>
          <w:rFonts w:cs="Times New Roman"/>
        </w:rPr>
        <w:t>ribawi</w:t>
      </w:r>
      <w:proofErr w:type="spellEnd"/>
      <w:r>
        <w:rPr>
          <w:rFonts w:cs="Times New Roman"/>
        </w:rPr>
        <w:t xml:space="preserve"> restrictions. The Hanafi school identified the ’</w:t>
      </w:r>
      <w:proofErr w:type="spellStart"/>
      <w:r>
        <w:rPr>
          <w:rFonts w:cs="Times New Roman"/>
        </w:rPr>
        <w:t>illah</w:t>
      </w:r>
      <w:proofErr w:type="spellEnd"/>
      <w:r>
        <w:rPr>
          <w:rFonts w:cs="Times New Roman"/>
        </w:rPr>
        <w:t xml:space="preserve"> as being items measured by weight or volume that share the same genus. The Shafi’i school identified it as being items that serve as food or currency. The Maliki and Hanbali schools offered related but distinct formulations (Al-</w:t>
      </w:r>
      <w:proofErr w:type="spellStart"/>
      <w:r>
        <w:rPr>
          <w:rFonts w:cs="Times New Roman"/>
        </w:rPr>
        <w:t>Zuhayli</w:t>
      </w:r>
      <w:proofErr w:type="spellEnd"/>
      <w:r>
        <w:rPr>
          <w:rFonts w:cs="Times New Roman"/>
        </w:rPr>
        <w:t>, 2003).</w:t>
      </w:r>
    </w:p>
    <w:p w14:paraId="0B50101A" w14:textId="77777777" w:rsidR="00B46671" w:rsidRDefault="00000000">
      <w:pPr>
        <w:pStyle w:val="BodyText"/>
      </w:pPr>
      <w:r>
        <w:rPr>
          <w:rFonts w:cs="Times New Roman"/>
        </w:rPr>
        <w:t xml:space="preserve">The critical question for contemporary Islamic finance is whether fiat currency, which has replaced gold and silver as the dominant medium of exchange, satisfies these classical criteria. The majority scholarly position holds that fiat currency possesses </w:t>
      </w:r>
      <w:proofErr w:type="spellStart"/>
      <w:r>
        <w:rPr>
          <w:rFonts w:cs="Times New Roman"/>
        </w:rPr>
        <w:t>thamaniyyah</w:t>
      </w:r>
      <w:proofErr w:type="spellEnd"/>
      <w:r>
        <w:rPr>
          <w:rFonts w:cs="Times New Roman"/>
        </w:rPr>
        <w:t xml:space="preserve"> (monetary nature) and is therefore subject to </w:t>
      </w:r>
      <w:proofErr w:type="spellStart"/>
      <w:r>
        <w:rPr>
          <w:rFonts w:cs="Times New Roman"/>
        </w:rPr>
        <w:t>ribawi</w:t>
      </w:r>
      <w:proofErr w:type="spellEnd"/>
      <w:r>
        <w:rPr>
          <w:rFonts w:cs="Times New Roman"/>
        </w:rPr>
        <w:t xml:space="preserve"> rules (Usmani, 2002). A minority position, developed in the author’s prior research (Abdul Majeed, 2026a), argues that fiat currency fails the seven shared characteristics of the six </w:t>
      </w:r>
      <w:proofErr w:type="spellStart"/>
      <w:r>
        <w:rPr>
          <w:rFonts w:cs="Times New Roman"/>
        </w:rPr>
        <w:t>ribawi</w:t>
      </w:r>
      <w:proofErr w:type="spellEnd"/>
      <w:r>
        <w:rPr>
          <w:rFonts w:cs="Times New Roman"/>
        </w:rPr>
        <w:t xml:space="preserve"> items when evaluated against the primary-source evidence. This paper does not argue for either position. It presents a diagnostic framework that makes both positions operational and allows users to evaluate financial instruments under either analytical track.</w:t>
      </w:r>
    </w:p>
    <w:p w14:paraId="19866A1F" w14:textId="77777777" w:rsidR="00B46671" w:rsidRDefault="00000000">
      <w:pPr>
        <w:pStyle w:val="Heading3"/>
      </w:pPr>
      <w:bookmarkStart w:id="11" w:name="X17e0c9cb0f4f41fa40c02036f2dd6dd06090527"/>
      <w:bookmarkEnd w:id="10"/>
      <w:r>
        <w:rPr>
          <w:rFonts w:cs="Times New Roman"/>
        </w:rPr>
        <w:t>2.4 Form Versus Substance in Classical Jurisprudence</w:t>
      </w:r>
    </w:p>
    <w:p w14:paraId="54A1F556" w14:textId="77777777" w:rsidR="00B46671" w:rsidRDefault="00000000">
      <w:pPr>
        <w:pStyle w:val="FirstParagraph"/>
      </w:pPr>
      <w:r>
        <w:rPr>
          <w:rFonts w:cs="Times New Roman"/>
        </w:rPr>
        <w:t>The question of when a formally permissible structure conceals a prohibited economic substance has occupied Islamic jurists since the earliest centuries. Ibn Qayyim al-</w:t>
      </w:r>
      <w:proofErr w:type="spellStart"/>
      <w:r>
        <w:rPr>
          <w:rFonts w:cs="Times New Roman"/>
        </w:rPr>
        <w:t>Jawziyyah</w:t>
      </w:r>
      <w:proofErr w:type="spellEnd"/>
      <w:r>
        <w:rPr>
          <w:rFonts w:cs="Times New Roman"/>
        </w:rPr>
        <w:t xml:space="preserve"> devoted substantial portions of I’lam al-</w:t>
      </w:r>
      <w:proofErr w:type="spellStart"/>
      <w:r>
        <w:rPr>
          <w:rFonts w:cs="Times New Roman"/>
        </w:rPr>
        <w:t>Muwaqqi’in</w:t>
      </w:r>
      <w:proofErr w:type="spellEnd"/>
      <w:r>
        <w:rPr>
          <w:rFonts w:cs="Times New Roman"/>
        </w:rPr>
        <w:t xml:space="preserve"> to identifying and dismantling legal stratagems (Hiyal) that give </w:t>
      </w:r>
      <w:proofErr w:type="spellStart"/>
      <w:r>
        <w:rPr>
          <w:rFonts w:cs="Times New Roman"/>
        </w:rPr>
        <w:t>ribawi</w:t>
      </w:r>
      <w:proofErr w:type="spellEnd"/>
      <w:r>
        <w:rPr>
          <w:rFonts w:cs="Times New Roman"/>
        </w:rPr>
        <w:t xml:space="preserve"> transactions the appearance of legitimate trade. His teacher, Ibn Taymiyyah, stated in </w:t>
      </w:r>
      <w:proofErr w:type="spellStart"/>
      <w:r>
        <w:rPr>
          <w:rFonts w:cs="Times New Roman"/>
        </w:rPr>
        <w:t>Majmu</w:t>
      </w:r>
      <w:proofErr w:type="spellEnd"/>
      <w:r>
        <w:rPr>
          <w:rFonts w:cs="Times New Roman"/>
        </w:rPr>
        <w:t>’ al-</w:t>
      </w:r>
      <w:proofErr w:type="spellStart"/>
      <w:r>
        <w:rPr>
          <w:rFonts w:cs="Times New Roman"/>
        </w:rPr>
        <w:t>Fatawa</w:t>
      </w:r>
      <w:proofErr w:type="spellEnd"/>
      <w:r>
        <w:rPr>
          <w:rFonts w:cs="Times New Roman"/>
        </w:rPr>
        <w:t xml:space="preserve"> that one who uses a Hilah to consume Riba under the cover of a sale commits a greater sin than one who consumes it openly, because the stratagem adds mockery of the law to the original transgression.</w:t>
      </w:r>
    </w:p>
    <w:p w14:paraId="644DC86B" w14:textId="77777777" w:rsidR="00B46671" w:rsidRDefault="00000000">
      <w:pPr>
        <w:pStyle w:val="BodyText"/>
      </w:pPr>
      <w:r>
        <w:rPr>
          <w:rFonts w:cs="Times New Roman"/>
        </w:rPr>
        <w:t xml:space="preserve">This principle has direct relevance to contemporary Islamic finance. </w:t>
      </w:r>
      <w:proofErr w:type="spellStart"/>
      <w:r>
        <w:rPr>
          <w:rFonts w:cs="Times New Roman"/>
        </w:rPr>
        <w:t>Organised</w:t>
      </w:r>
      <w:proofErr w:type="spellEnd"/>
      <w:r>
        <w:rPr>
          <w:rFonts w:cs="Times New Roman"/>
        </w:rPr>
        <w:t xml:space="preserve"> </w:t>
      </w:r>
      <w:proofErr w:type="spellStart"/>
      <w:r>
        <w:rPr>
          <w:rFonts w:cs="Times New Roman"/>
        </w:rPr>
        <w:t>Tawarruq</w:t>
      </w:r>
      <w:proofErr w:type="spellEnd"/>
      <w:r>
        <w:rPr>
          <w:rFonts w:cs="Times New Roman"/>
        </w:rPr>
        <w:t>, for instance, was declared impermissible by the Islamic Fiqh Academy (Resolution 179, 19th Session, 2009), precisely on the grounds that the commodity transaction serves no genuine commercial purpose and functions as a device for generating a cash loan with a fixed return.</w:t>
      </w:r>
    </w:p>
    <w:p w14:paraId="170EAB75" w14:textId="77777777" w:rsidR="00B46671" w:rsidRDefault="00000000">
      <w:pPr>
        <w:pStyle w:val="BodyText"/>
      </w:pPr>
      <w:r>
        <w:rPr>
          <w:rFonts w:cs="Times New Roman"/>
        </w:rPr>
        <w:lastRenderedPageBreak/>
        <w:t xml:space="preserve">Despite the classical foundation for form-versus-substance analysis, no existing digital tool </w:t>
      </w:r>
      <w:proofErr w:type="spellStart"/>
      <w:r>
        <w:rPr>
          <w:rFonts w:cs="Times New Roman"/>
        </w:rPr>
        <w:t>operationalises</w:t>
      </w:r>
      <w:proofErr w:type="spellEnd"/>
      <w:r>
        <w:rPr>
          <w:rFonts w:cs="Times New Roman"/>
        </w:rPr>
        <w:t xml:space="preserve"> this principle as a structured diagnostic question. Mizan’s “strip test,” described in Section 3.3.3, addresses this gap.</w:t>
      </w:r>
    </w:p>
    <w:p w14:paraId="28D46146" w14:textId="77777777" w:rsidR="00B46671" w:rsidRDefault="00000000">
      <w:r>
        <w:rPr>
          <w:rFonts w:cs="Times New Roman"/>
        </w:rPr>
        <w:pict w14:anchorId="1FAC6CE6">
          <v:rect id="_x0000_i1028" style="width:0;height:1.5pt" o:hralign="center" o:hrstd="t" o:hr="t"/>
        </w:pict>
      </w:r>
    </w:p>
    <w:p w14:paraId="76A495FD" w14:textId="77777777" w:rsidR="00B46671" w:rsidRDefault="00000000">
      <w:pPr>
        <w:pStyle w:val="Heading2"/>
      </w:pPr>
      <w:bookmarkStart w:id="12" w:name="methodology"/>
      <w:bookmarkEnd w:id="7"/>
      <w:bookmarkEnd w:id="11"/>
      <w:r>
        <w:rPr>
          <w:rFonts w:ascii="Times New Roman" w:hAnsi="Times New Roman" w:cs="Times New Roman"/>
        </w:rPr>
        <w:t>3. Methodology</w:t>
      </w:r>
    </w:p>
    <w:p w14:paraId="231B09C4" w14:textId="77777777" w:rsidR="00B46671" w:rsidRDefault="00000000">
      <w:pPr>
        <w:pStyle w:val="Heading3"/>
      </w:pPr>
      <w:bookmarkStart w:id="13" w:name="X536a0aa6e9ab48b5923c4d59118008428036a55"/>
      <w:r>
        <w:rPr>
          <w:rFonts w:cs="Times New Roman"/>
        </w:rPr>
        <w:t>3.0 Research Paradigm: Design Science Research</w:t>
      </w:r>
    </w:p>
    <w:p w14:paraId="5F526B9C" w14:textId="77777777" w:rsidR="00B46671" w:rsidRDefault="00000000">
      <w:pPr>
        <w:pStyle w:val="FirstParagraph"/>
      </w:pPr>
      <w:r>
        <w:rPr>
          <w:rFonts w:cs="Times New Roman"/>
        </w:rPr>
        <w:t xml:space="preserve">This study adopts the Design Science Research (DSR) paradigm (Hevner et al., 2004; Peffers et al., 2007). DSR is an established methodology in information systems and FinTech research that </w:t>
      </w:r>
      <w:proofErr w:type="spellStart"/>
      <w:r>
        <w:rPr>
          <w:rFonts w:cs="Times New Roman"/>
        </w:rPr>
        <w:t>centres</w:t>
      </w:r>
      <w:proofErr w:type="spellEnd"/>
      <w:r>
        <w:rPr>
          <w:rFonts w:cs="Times New Roman"/>
        </w:rPr>
        <w:t xml:space="preserve"> on the creation and evaluation of novel artefacts designed to address identified problems. Unlike empirical research, which observes and measures existing phenomena, DSR contributes knowledge through the act of building: the artefact itself, its design principles, and the evaluation of its utility constitute the research output.</w:t>
      </w:r>
    </w:p>
    <w:p w14:paraId="77F71D7B" w14:textId="77777777" w:rsidR="00B46671" w:rsidRDefault="00000000">
      <w:pPr>
        <w:pStyle w:val="BodyText"/>
      </w:pPr>
      <w:r>
        <w:rPr>
          <w:rFonts w:cs="Times New Roman"/>
        </w:rPr>
        <w:t xml:space="preserve">The DSR framework is appropriate for this study for three reasons. First, the research objective is to produce a functional diagnostic tool (an artefact), not to test a hypothesis against observational data. Second, the evaluation of the artefact is demonstrated through application to representative cases, consistent with DSR evaluation methods. Third, the design knowledge produced, specifically the </w:t>
      </w:r>
      <w:proofErr w:type="spellStart"/>
      <w:r>
        <w:rPr>
          <w:rFonts w:cs="Times New Roman"/>
        </w:rPr>
        <w:t>ribawi</w:t>
      </w:r>
      <w:proofErr w:type="spellEnd"/>
      <w:r>
        <w:rPr>
          <w:rFonts w:cs="Times New Roman"/>
        </w:rPr>
        <w:t xml:space="preserve"> characteristics grid, the strip test, and the dual-track framework, is </w:t>
      </w:r>
      <w:proofErr w:type="spellStart"/>
      <w:r>
        <w:rPr>
          <w:rFonts w:cs="Times New Roman"/>
        </w:rPr>
        <w:t>generalisable</w:t>
      </w:r>
      <w:proofErr w:type="spellEnd"/>
      <w:r>
        <w:rPr>
          <w:rFonts w:cs="Times New Roman"/>
        </w:rPr>
        <w:t xml:space="preserve"> beyond the specific tool and can inform future diagnostic instruments in Islamic finance.</w:t>
      </w:r>
    </w:p>
    <w:p w14:paraId="5E32E168" w14:textId="77777777" w:rsidR="00B46671" w:rsidRDefault="00000000">
      <w:pPr>
        <w:pStyle w:val="BodyText"/>
      </w:pPr>
      <w:r>
        <w:rPr>
          <w:rFonts w:cs="Times New Roman"/>
        </w:rPr>
        <w:t>The three stages described below correspond to the DSR process model: problem identification (the absence of a transparent, source-traceable compliance methodology), artefact design (derivation of criteria and diagnostic architecture), and demonstration (application to representative financial products in Section 4).</w:t>
      </w:r>
    </w:p>
    <w:p w14:paraId="60FE3802" w14:textId="77777777" w:rsidR="00B46671" w:rsidRDefault="00000000">
      <w:pPr>
        <w:pStyle w:val="BodyText"/>
      </w:pPr>
      <w:r>
        <w:rPr>
          <w:rFonts w:cs="Times New Roman"/>
        </w:rPr>
        <w:t>The Mizan diagnostic framework is constructed through a three-stage process: primary-source derivation of evaluation criteria, extraction of measurable characteristics, and implementation as a rule-based diagnostic engine.</w:t>
      </w:r>
    </w:p>
    <w:p w14:paraId="13B78DC7" w14:textId="77777777" w:rsidR="00B46671" w:rsidRDefault="00000000">
      <w:pPr>
        <w:pStyle w:val="Heading3"/>
      </w:pPr>
      <w:bookmarkStart w:id="14" w:name="X4d83ef4530acbfe833db061b776f7cf8028f34b"/>
      <w:bookmarkEnd w:id="13"/>
      <w:r>
        <w:rPr>
          <w:rFonts w:cs="Times New Roman"/>
        </w:rPr>
        <w:t>3.1 Stage 1: Linguistic and Juridical Derivation</w:t>
      </w:r>
    </w:p>
    <w:p w14:paraId="03C6D819" w14:textId="77777777" w:rsidR="00B46671" w:rsidRDefault="00000000">
      <w:pPr>
        <w:pStyle w:val="FirstParagraph"/>
      </w:pPr>
      <w:r>
        <w:rPr>
          <w:rFonts w:cs="Times New Roman"/>
        </w:rPr>
        <w:t xml:space="preserve">The foundation of the framework is a 119-page linguistic and juridical investigation into the prohibition of Riba, the nature of </w:t>
      </w:r>
      <w:proofErr w:type="spellStart"/>
      <w:r>
        <w:rPr>
          <w:rFonts w:cs="Times New Roman"/>
        </w:rPr>
        <w:t>Qard</w:t>
      </w:r>
      <w:proofErr w:type="spellEnd"/>
      <w:r>
        <w:rPr>
          <w:rFonts w:cs="Times New Roman"/>
        </w:rPr>
        <w:t xml:space="preserve">, Dayn, and Bay’, and the characteristics that define </w:t>
      </w:r>
      <w:proofErr w:type="spellStart"/>
      <w:r>
        <w:rPr>
          <w:rFonts w:cs="Times New Roman"/>
        </w:rPr>
        <w:t>ribawi</w:t>
      </w:r>
      <w:proofErr w:type="spellEnd"/>
      <w:r>
        <w:rPr>
          <w:rFonts w:cs="Times New Roman"/>
        </w:rPr>
        <w:t xml:space="preserve"> commodities (Abdul Majeed, 2026a). The methodology of that investigation proceeds as follows.</w:t>
      </w:r>
    </w:p>
    <w:p w14:paraId="7E5CF186" w14:textId="77777777" w:rsidR="00B46671" w:rsidRDefault="00000000">
      <w:pPr>
        <w:pStyle w:val="BodyText"/>
      </w:pPr>
      <w:r>
        <w:rPr>
          <w:rFonts w:cs="Times New Roman"/>
          <w:b/>
          <w:bCs/>
        </w:rPr>
        <w:lastRenderedPageBreak/>
        <w:t>Root analysis.</w:t>
      </w:r>
      <w:r>
        <w:rPr>
          <w:rFonts w:cs="Times New Roman"/>
        </w:rPr>
        <w:t xml:space="preserve"> The study begins from the three-letter Arabic roots of the four foundational terms. Riba derives from R-B-W / R-B-Y, meaning to grow, to increase, to rise above, to swell, to exceed the original level. Every Quranic occurrence of this root is catalogued and </w:t>
      </w:r>
      <w:proofErr w:type="spellStart"/>
      <w:r>
        <w:rPr>
          <w:rFonts w:cs="Times New Roman"/>
        </w:rPr>
        <w:t>analysed</w:t>
      </w:r>
      <w:proofErr w:type="spellEnd"/>
      <w:r>
        <w:rPr>
          <w:rFonts w:cs="Times New Roman"/>
        </w:rPr>
        <w:t xml:space="preserve"> in its linguistic context. </w:t>
      </w:r>
      <w:proofErr w:type="spellStart"/>
      <w:r>
        <w:rPr>
          <w:rFonts w:cs="Times New Roman"/>
        </w:rPr>
        <w:t>Qard</w:t>
      </w:r>
      <w:proofErr w:type="spellEnd"/>
      <w:r>
        <w:rPr>
          <w:rFonts w:cs="Times New Roman"/>
        </w:rPr>
        <w:t xml:space="preserve"> derives from Q-R-D, meaning to cut: a piece cut from one’s wealth and given freely, with only the exact equivalent (</w:t>
      </w:r>
      <w:proofErr w:type="spellStart"/>
      <w:r>
        <w:rPr>
          <w:rFonts w:cs="Times New Roman"/>
        </w:rPr>
        <w:t>mithl</w:t>
      </w:r>
      <w:proofErr w:type="spellEnd"/>
      <w:r>
        <w:rPr>
          <w:rFonts w:cs="Times New Roman"/>
        </w:rPr>
        <w:t>) returning. Dayn, sharing its root with Din (faith, accountability) and Dayyan (the Judge), refers to the outstanding obligation, fixed at the point it arises. Bay’ refers to bilateral exchange, requiring genuine prior ownership, genuine risk, and genuine counter-value on both sides.</w:t>
      </w:r>
    </w:p>
    <w:p w14:paraId="4EAA9598" w14:textId="77777777" w:rsidR="00B46671" w:rsidRDefault="00000000">
      <w:pPr>
        <w:pStyle w:val="BodyText"/>
      </w:pPr>
      <w:r>
        <w:rPr>
          <w:rFonts w:cs="Times New Roman"/>
          <w:b/>
          <w:bCs/>
        </w:rPr>
        <w:t>Quranic progression.</w:t>
      </w:r>
      <w:r>
        <w:rPr>
          <w:rFonts w:cs="Times New Roman"/>
        </w:rPr>
        <w:t xml:space="preserve"> The study traces four progressive stages of Quranic prohibition, from moral discouragement in the Meccan period (Surah Al-Rum 30:39) through conditional prohibition (Surah Al-Imran 3:130) to absolute prohibition with a declaration of war from Allah and His Messenger against those who persist (Surah Al-Baqarah 2:275-279).</w:t>
      </w:r>
    </w:p>
    <w:p w14:paraId="0139C210" w14:textId="77777777" w:rsidR="00B46671" w:rsidRDefault="00000000">
      <w:pPr>
        <w:pStyle w:val="BodyText"/>
      </w:pPr>
      <w:r>
        <w:rPr>
          <w:rFonts w:cs="Times New Roman"/>
          <w:b/>
          <w:bCs/>
        </w:rPr>
        <w:t>Hadith analysis.</w:t>
      </w:r>
      <w:r>
        <w:rPr>
          <w:rFonts w:cs="Times New Roman"/>
        </w:rPr>
        <w:t xml:space="preserve"> Six key Hadith references are examined, </w:t>
      </w:r>
      <w:proofErr w:type="spellStart"/>
      <w:r>
        <w:rPr>
          <w:rFonts w:cs="Times New Roman"/>
        </w:rPr>
        <w:t>centred</w:t>
      </w:r>
      <w:proofErr w:type="spellEnd"/>
      <w:r>
        <w:rPr>
          <w:rFonts w:cs="Times New Roman"/>
        </w:rPr>
        <w:t xml:space="preserve"> on the Hadith of Riba al-Fadl (Sahih Muslim 1587), the Curse on All Parties to a Riba transaction (Sahih Muslim 1598), and the Farewell Sermon in which the Prophet (peace be upon him) abolished all pre-Islamic Riba, beginning with his own uncle’s debts (Sahih Muslim 1218).</w:t>
      </w:r>
    </w:p>
    <w:p w14:paraId="1FD68B20" w14:textId="77777777" w:rsidR="00B46671" w:rsidRDefault="00000000">
      <w:pPr>
        <w:pStyle w:val="BodyText"/>
      </w:pPr>
      <w:r>
        <w:rPr>
          <w:rFonts w:cs="Times New Roman"/>
          <w:b/>
          <w:bCs/>
        </w:rPr>
        <w:t>Classical scholarly analysis.</w:t>
      </w:r>
      <w:r>
        <w:rPr>
          <w:rFonts w:cs="Times New Roman"/>
        </w:rPr>
        <w:t xml:space="preserve"> The form-versus-substance framework draws on Ibn Qayyim al-</w:t>
      </w:r>
      <w:proofErr w:type="spellStart"/>
      <w:r>
        <w:rPr>
          <w:rFonts w:cs="Times New Roman"/>
        </w:rPr>
        <w:t>Jawziyyah’s</w:t>
      </w:r>
      <w:proofErr w:type="spellEnd"/>
      <w:r>
        <w:rPr>
          <w:rFonts w:cs="Times New Roman"/>
        </w:rPr>
        <w:t xml:space="preserve"> I’lam al-</w:t>
      </w:r>
      <w:proofErr w:type="spellStart"/>
      <w:r>
        <w:rPr>
          <w:rFonts w:cs="Times New Roman"/>
        </w:rPr>
        <w:t>Muwaqqi’in</w:t>
      </w:r>
      <w:proofErr w:type="spellEnd"/>
      <w:r>
        <w:rPr>
          <w:rFonts w:cs="Times New Roman"/>
        </w:rPr>
        <w:t xml:space="preserve"> and Ibn Taymiyyah’s Majmu’ al-</w:t>
      </w:r>
      <w:proofErr w:type="spellStart"/>
      <w:r>
        <w:rPr>
          <w:rFonts w:cs="Times New Roman"/>
        </w:rPr>
        <w:t>Fatawa</w:t>
      </w:r>
      <w:proofErr w:type="spellEnd"/>
      <w:r>
        <w:rPr>
          <w:rFonts w:cs="Times New Roman"/>
        </w:rPr>
        <w:t>. Al-Ghazali’s analysis of the function of money (</w:t>
      </w:r>
      <w:proofErr w:type="spellStart"/>
      <w:r>
        <w:rPr>
          <w:rFonts w:cs="Times New Roman"/>
        </w:rPr>
        <w:t>thaman</w:t>
      </w:r>
      <w:proofErr w:type="spellEnd"/>
      <w:r>
        <w:rPr>
          <w:rFonts w:cs="Times New Roman"/>
        </w:rPr>
        <w:t xml:space="preserve">) in </w:t>
      </w:r>
      <w:proofErr w:type="spellStart"/>
      <w:r>
        <w:rPr>
          <w:rFonts w:cs="Times New Roman"/>
        </w:rPr>
        <w:t>Ihya</w:t>
      </w:r>
      <w:proofErr w:type="spellEnd"/>
      <w:r>
        <w:rPr>
          <w:rFonts w:cs="Times New Roman"/>
        </w:rPr>
        <w:t>’ ’</w:t>
      </w:r>
      <w:proofErr w:type="spellStart"/>
      <w:r>
        <w:rPr>
          <w:rFonts w:cs="Times New Roman"/>
        </w:rPr>
        <w:t>Ulum</w:t>
      </w:r>
      <w:proofErr w:type="spellEnd"/>
      <w:r>
        <w:rPr>
          <w:rFonts w:cs="Times New Roman"/>
        </w:rPr>
        <w:t xml:space="preserve"> al-Din informs the distinction between currency-level and transaction-level analysis.</w:t>
      </w:r>
    </w:p>
    <w:p w14:paraId="04A3FDA8" w14:textId="77777777" w:rsidR="00B46671" w:rsidRDefault="00000000">
      <w:pPr>
        <w:pStyle w:val="Heading3"/>
      </w:pPr>
      <w:bookmarkStart w:id="15" w:name="Xcd5dfcd3a4d96654fff3c290cb67fce6b62591d"/>
      <w:bookmarkEnd w:id="14"/>
      <w:r>
        <w:rPr>
          <w:rFonts w:cs="Times New Roman"/>
        </w:rPr>
        <w:t xml:space="preserve">3.2 Stage 2: Derivation of Seven </w:t>
      </w:r>
      <w:proofErr w:type="spellStart"/>
      <w:r>
        <w:rPr>
          <w:rFonts w:cs="Times New Roman"/>
        </w:rPr>
        <w:t>Ribawi</w:t>
      </w:r>
      <w:proofErr w:type="spellEnd"/>
      <w:r>
        <w:rPr>
          <w:rFonts w:cs="Times New Roman"/>
        </w:rPr>
        <w:t xml:space="preserve"> Characteristics</w:t>
      </w:r>
    </w:p>
    <w:p w14:paraId="2246C966" w14:textId="77777777" w:rsidR="00B46671" w:rsidRDefault="00000000">
      <w:pPr>
        <w:pStyle w:val="FirstParagraph"/>
      </w:pPr>
      <w:r>
        <w:rPr>
          <w:rFonts w:cs="Times New Roman"/>
        </w:rPr>
        <w:t xml:space="preserve">From the primary-source analysis, seven shared characteristics of the six </w:t>
      </w:r>
      <w:proofErr w:type="spellStart"/>
      <w:r>
        <w:rPr>
          <w:rFonts w:cs="Times New Roman"/>
        </w:rPr>
        <w:t>ribawi</w:t>
      </w:r>
      <w:proofErr w:type="spellEnd"/>
      <w:r>
        <w:rPr>
          <w:rFonts w:cs="Times New Roman"/>
        </w:rPr>
        <w:t xml:space="preserve"> items (gold, silver, wheat, barley, dates, and salt) are identified. These characteristics represent what these items have in common that triggers the application of </w:t>
      </w:r>
      <w:proofErr w:type="spellStart"/>
      <w:r>
        <w:rPr>
          <w:rFonts w:cs="Times New Roman"/>
        </w:rPr>
        <w:t>ribawi</w:t>
      </w:r>
      <w:proofErr w:type="spellEnd"/>
      <w:r>
        <w:rPr>
          <w:rFonts w:cs="Times New Roman"/>
        </w:rPr>
        <w:t xml:space="preserve"> rules.</w:t>
      </w:r>
    </w:p>
    <w:p w14:paraId="10A90218" w14:textId="77777777" w:rsidR="00B46671" w:rsidRDefault="00000000">
      <w:pPr>
        <w:pStyle w:val="BodyText"/>
      </w:pPr>
      <w:r>
        <w:rPr>
          <w:rFonts w:cs="Times New Roman"/>
          <w:b/>
          <w:bCs/>
        </w:rPr>
        <w:t>Table 1</w:t>
      </w:r>
    </w:p>
    <w:p w14:paraId="3EC21F1C" w14:textId="77777777" w:rsidR="00B46671" w:rsidRDefault="00000000">
      <w:pPr>
        <w:pStyle w:val="BodyText"/>
      </w:pPr>
      <w:r>
        <w:rPr>
          <w:rFonts w:cs="Times New Roman"/>
          <w:i/>
          <w:iCs/>
        </w:rPr>
        <w:t xml:space="preserve">Seven </w:t>
      </w:r>
      <w:proofErr w:type="spellStart"/>
      <w:r>
        <w:rPr>
          <w:rFonts w:cs="Times New Roman"/>
          <w:i/>
          <w:iCs/>
        </w:rPr>
        <w:t>Ribawi</w:t>
      </w:r>
      <w:proofErr w:type="spellEnd"/>
      <w:r>
        <w:rPr>
          <w:rFonts w:cs="Times New Roman"/>
          <w:i/>
          <w:iCs/>
        </w:rPr>
        <w:t xml:space="preserve"> Characteristics Derived from the Hadith of Riba al-Fadl</w:t>
      </w:r>
    </w:p>
    <w:tbl>
      <w:tblPr>
        <w:tblStyle w:val="Table"/>
        <w:tblW w:w="5000" w:type="pct"/>
        <w:tblLayout w:type="fixed"/>
        <w:tblLook w:val="0020" w:firstRow="1" w:lastRow="0" w:firstColumn="0" w:lastColumn="0" w:noHBand="0" w:noVBand="0"/>
      </w:tblPr>
      <w:tblGrid>
        <w:gridCol w:w="439"/>
        <w:gridCol w:w="2194"/>
        <w:gridCol w:w="1901"/>
        <w:gridCol w:w="1755"/>
        <w:gridCol w:w="3071"/>
      </w:tblGrid>
      <w:tr w:rsidR="00B46671" w14:paraId="618C422B" w14:textId="77777777" w:rsidTr="00B46671">
        <w:trPr>
          <w:cnfStyle w:val="100000000000" w:firstRow="1" w:lastRow="0" w:firstColumn="0" w:lastColumn="0" w:oddVBand="0" w:evenVBand="0" w:oddHBand="0" w:evenHBand="0" w:firstRowFirstColumn="0" w:firstRowLastColumn="0" w:lastRowFirstColumn="0" w:lastRowLastColumn="0"/>
          <w:tblHeader/>
        </w:trPr>
        <w:tc>
          <w:tcPr>
            <w:tcW w:w="371" w:type="dxa"/>
          </w:tcPr>
          <w:p w14:paraId="383042D6" w14:textId="77777777" w:rsidR="00B46671" w:rsidRDefault="00000000">
            <w:pPr>
              <w:pStyle w:val="Compact"/>
              <w:spacing w:before="40" w:after="40" w:line="240" w:lineRule="auto"/>
            </w:pPr>
            <w:r>
              <w:rPr>
                <w:sz w:val="20"/>
              </w:rPr>
              <w:t>#</w:t>
            </w:r>
          </w:p>
        </w:tc>
        <w:tc>
          <w:tcPr>
            <w:tcW w:w="1856" w:type="dxa"/>
          </w:tcPr>
          <w:p w14:paraId="2E80DCD1" w14:textId="77777777" w:rsidR="00B46671" w:rsidRDefault="00000000">
            <w:pPr>
              <w:pStyle w:val="Compact"/>
              <w:spacing w:before="40" w:after="40" w:line="240" w:lineRule="auto"/>
            </w:pPr>
            <w:r>
              <w:rPr>
                <w:sz w:val="20"/>
              </w:rPr>
              <w:t>Characteristic</w:t>
            </w:r>
          </w:p>
        </w:tc>
        <w:tc>
          <w:tcPr>
            <w:tcW w:w="1608" w:type="dxa"/>
          </w:tcPr>
          <w:p w14:paraId="20A405EF" w14:textId="77777777" w:rsidR="00B46671" w:rsidRDefault="00000000">
            <w:pPr>
              <w:pStyle w:val="Compact"/>
              <w:spacing w:before="40" w:after="40" w:line="240" w:lineRule="auto"/>
            </w:pPr>
            <w:r>
              <w:rPr>
                <w:sz w:val="20"/>
              </w:rPr>
              <w:t>Arabic Term</w:t>
            </w:r>
          </w:p>
        </w:tc>
        <w:tc>
          <w:tcPr>
            <w:tcW w:w="1485" w:type="dxa"/>
          </w:tcPr>
          <w:p w14:paraId="4F846AA7" w14:textId="77777777" w:rsidR="00B46671" w:rsidRDefault="00000000">
            <w:pPr>
              <w:pStyle w:val="Compact"/>
              <w:spacing w:before="40" w:after="40" w:line="240" w:lineRule="auto"/>
            </w:pPr>
            <w:r>
              <w:rPr>
                <w:sz w:val="20"/>
              </w:rPr>
              <w:t>Definition</w:t>
            </w:r>
          </w:p>
        </w:tc>
        <w:tc>
          <w:tcPr>
            <w:tcW w:w="2598" w:type="dxa"/>
          </w:tcPr>
          <w:p w14:paraId="25FC77CA" w14:textId="77777777" w:rsidR="00B46671" w:rsidRDefault="00000000">
            <w:pPr>
              <w:pStyle w:val="Compact"/>
              <w:spacing w:before="40" w:after="40" w:line="240" w:lineRule="auto"/>
            </w:pPr>
            <w:r>
              <w:rPr>
                <w:sz w:val="20"/>
              </w:rPr>
              <w:t>Measurable Criterion</w:t>
            </w:r>
          </w:p>
        </w:tc>
      </w:tr>
      <w:tr w:rsidR="00B46671" w14:paraId="326E363B" w14:textId="77777777">
        <w:tc>
          <w:tcPr>
            <w:tcW w:w="371" w:type="dxa"/>
          </w:tcPr>
          <w:p w14:paraId="5CD357E4" w14:textId="77777777" w:rsidR="00B46671" w:rsidRDefault="00000000">
            <w:pPr>
              <w:pStyle w:val="Compact"/>
              <w:spacing w:before="40" w:after="40" w:line="240" w:lineRule="auto"/>
            </w:pPr>
            <w:r>
              <w:rPr>
                <w:sz w:val="20"/>
              </w:rPr>
              <w:t>1</w:t>
            </w:r>
          </w:p>
        </w:tc>
        <w:tc>
          <w:tcPr>
            <w:tcW w:w="1856" w:type="dxa"/>
          </w:tcPr>
          <w:p w14:paraId="32DFB1BA" w14:textId="77777777" w:rsidR="00B46671" w:rsidRDefault="00000000">
            <w:pPr>
              <w:pStyle w:val="Compact"/>
              <w:spacing w:before="40" w:after="40" w:line="240" w:lineRule="auto"/>
            </w:pPr>
            <w:r>
              <w:rPr>
                <w:sz w:val="20"/>
              </w:rPr>
              <w:t>Fungibility</w:t>
            </w:r>
          </w:p>
        </w:tc>
        <w:tc>
          <w:tcPr>
            <w:tcW w:w="1608" w:type="dxa"/>
          </w:tcPr>
          <w:p w14:paraId="4AB1F5A0" w14:textId="77777777" w:rsidR="00B46671" w:rsidRDefault="00000000">
            <w:pPr>
              <w:pStyle w:val="Compact"/>
              <w:spacing w:before="40" w:after="40" w:line="240" w:lineRule="auto"/>
            </w:pPr>
            <w:proofErr w:type="spellStart"/>
            <w:r>
              <w:rPr>
                <w:sz w:val="20"/>
              </w:rPr>
              <w:t>Mithiliyyah</w:t>
            </w:r>
            <w:proofErr w:type="spellEnd"/>
          </w:p>
        </w:tc>
        <w:tc>
          <w:tcPr>
            <w:tcW w:w="1485" w:type="dxa"/>
          </w:tcPr>
          <w:p w14:paraId="2828D8CA" w14:textId="77777777" w:rsidR="00B46671" w:rsidRDefault="00000000">
            <w:pPr>
              <w:pStyle w:val="Compact"/>
              <w:spacing w:before="40" w:after="40" w:line="240" w:lineRule="auto"/>
            </w:pPr>
            <w:r>
              <w:rPr>
                <w:sz w:val="20"/>
              </w:rPr>
              <w:t>Units are interchangeable without quality variation over time</w:t>
            </w:r>
          </w:p>
        </w:tc>
        <w:tc>
          <w:tcPr>
            <w:tcW w:w="2598" w:type="dxa"/>
          </w:tcPr>
          <w:p w14:paraId="421172CF" w14:textId="77777777" w:rsidR="00B46671" w:rsidRDefault="00000000">
            <w:pPr>
              <w:pStyle w:val="Compact"/>
              <w:spacing w:before="40" w:after="40" w:line="240" w:lineRule="auto"/>
            </w:pPr>
            <w:r>
              <w:rPr>
                <w:sz w:val="20"/>
              </w:rPr>
              <w:t>Can one unit be exchanged for another of identical value at any future point?</w:t>
            </w:r>
          </w:p>
        </w:tc>
      </w:tr>
      <w:tr w:rsidR="00B46671" w14:paraId="5F132D37" w14:textId="77777777">
        <w:tc>
          <w:tcPr>
            <w:tcW w:w="371" w:type="dxa"/>
          </w:tcPr>
          <w:p w14:paraId="492356C4" w14:textId="77777777" w:rsidR="00B46671" w:rsidRDefault="00000000">
            <w:pPr>
              <w:pStyle w:val="Compact"/>
              <w:spacing w:before="40" w:after="40" w:line="240" w:lineRule="auto"/>
            </w:pPr>
            <w:r>
              <w:rPr>
                <w:sz w:val="20"/>
              </w:rPr>
              <w:t>2</w:t>
            </w:r>
          </w:p>
        </w:tc>
        <w:tc>
          <w:tcPr>
            <w:tcW w:w="1856" w:type="dxa"/>
          </w:tcPr>
          <w:p w14:paraId="6BC4752B" w14:textId="77777777" w:rsidR="00B46671" w:rsidRDefault="00000000">
            <w:pPr>
              <w:pStyle w:val="Compact"/>
              <w:spacing w:before="40" w:after="40" w:line="240" w:lineRule="auto"/>
            </w:pPr>
            <w:r>
              <w:rPr>
                <w:sz w:val="20"/>
              </w:rPr>
              <w:t>Intrinsic Value</w:t>
            </w:r>
          </w:p>
        </w:tc>
        <w:tc>
          <w:tcPr>
            <w:tcW w:w="1608" w:type="dxa"/>
          </w:tcPr>
          <w:p w14:paraId="6ACFD5E6" w14:textId="77777777" w:rsidR="00B46671" w:rsidRDefault="00000000">
            <w:pPr>
              <w:pStyle w:val="Compact"/>
              <w:spacing w:before="40" w:after="40" w:line="240" w:lineRule="auto"/>
            </w:pPr>
            <w:r>
              <w:rPr>
                <w:sz w:val="20"/>
              </w:rPr>
              <w:t xml:space="preserve">Qimah </w:t>
            </w:r>
            <w:proofErr w:type="spellStart"/>
            <w:r>
              <w:rPr>
                <w:sz w:val="20"/>
              </w:rPr>
              <w:t>Dhatiyyah</w:t>
            </w:r>
            <w:proofErr w:type="spellEnd"/>
          </w:p>
        </w:tc>
        <w:tc>
          <w:tcPr>
            <w:tcW w:w="1485" w:type="dxa"/>
          </w:tcPr>
          <w:p w14:paraId="424DCC52" w14:textId="77777777" w:rsidR="00B46671" w:rsidRDefault="00000000">
            <w:pPr>
              <w:pStyle w:val="Compact"/>
              <w:spacing w:before="40" w:after="40" w:line="240" w:lineRule="auto"/>
            </w:pPr>
            <w:r>
              <w:rPr>
                <w:sz w:val="20"/>
              </w:rPr>
              <w:t xml:space="preserve">Value exists independent of </w:t>
            </w:r>
            <w:r>
              <w:rPr>
                <w:sz w:val="20"/>
              </w:rPr>
              <w:lastRenderedPageBreak/>
              <w:t>monetary designation</w:t>
            </w:r>
          </w:p>
        </w:tc>
        <w:tc>
          <w:tcPr>
            <w:tcW w:w="2598" w:type="dxa"/>
          </w:tcPr>
          <w:p w14:paraId="3DA431B1" w14:textId="77777777" w:rsidR="00B46671" w:rsidRDefault="00000000">
            <w:pPr>
              <w:pStyle w:val="Compact"/>
              <w:spacing w:before="40" w:after="40" w:line="240" w:lineRule="auto"/>
            </w:pPr>
            <w:r>
              <w:rPr>
                <w:sz w:val="20"/>
              </w:rPr>
              <w:lastRenderedPageBreak/>
              <w:t xml:space="preserve">Does the item have utility or value if its monetary or legal status is </w:t>
            </w:r>
            <w:r>
              <w:rPr>
                <w:sz w:val="20"/>
              </w:rPr>
              <w:lastRenderedPageBreak/>
              <w:t>removed?</w:t>
            </w:r>
          </w:p>
        </w:tc>
      </w:tr>
      <w:tr w:rsidR="00B46671" w14:paraId="1D077B37" w14:textId="77777777">
        <w:tc>
          <w:tcPr>
            <w:tcW w:w="371" w:type="dxa"/>
          </w:tcPr>
          <w:p w14:paraId="7DBA6F9E" w14:textId="77777777" w:rsidR="00B46671" w:rsidRDefault="00000000">
            <w:pPr>
              <w:pStyle w:val="Compact"/>
              <w:spacing w:before="40" w:after="40" w:line="240" w:lineRule="auto"/>
            </w:pPr>
            <w:r>
              <w:rPr>
                <w:sz w:val="20"/>
              </w:rPr>
              <w:lastRenderedPageBreak/>
              <w:t>3</w:t>
            </w:r>
          </w:p>
        </w:tc>
        <w:tc>
          <w:tcPr>
            <w:tcW w:w="1856" w:type="dxa"/>
          </w:tcPr>
          <w:p w14:paraId="7458FC07" w14:textId="77777777" w:rsidR="00B46671" w:rsidRDefault="00000000">
            <w:pPr>
              <w:pStyle w:val="Compact"/>
              <w:spacing w:before="40" w:after="40" w:line="240" w:lineRule="auto"/>
            </w:pPr>
            <w:r>
              <w:rPr>
                <w:sz w:val="20"/>
              </w:rPr>
              <w:t>Durability of Value</w:t>
            </w:r>
          </w:p>
        </w:tc>
        <w:tc>
          <w:tcPr>
            <w:tcW w:w="1608" w:type="dxa"/>
          </w:tcPr>
          <w:p w14:paraId="14C98DA9" w14:textId="77777777" w:rsidR="00B46671" w:rsidRDefault="00000000">
            <w:pPr>
              <w:pStyle w:val="Compact"/>
              <w:spacing w:before="40" w:after="40" w:line="240" w:lineRule="auto"/>
            </w:pPr>
            <w:r>
              <w:rPr>
                <w:sz w:val="20"/>
              </w:rPr>
              <w:t>Baqa’</w:t>
            </w:r>
          </w:p>
        </w:tc>
        <w:tc>
          <w:tcPr>
            <w:tcW w:w="1485" w:type="dxa"/>
          </w:tcPr>
          <w:p w14:paraId="134C3C47" w14:textId="77777777" w:rsidR="00B46671" w:rsidRDefault="00000000">
            <w:pPr>
              <w:pStyle w:val="Compact"/>
              <w:spacing w:before="40" w:after="40" w:line="240" w:lineRule="auto"/>
            </w:pPr>
            <w:r>
              <w:rPr>
                <w:sz w:val="20"/>
              </w:rPr>
              <w:t>Value persists over time without systematic erosion</w:t>
            </w:r>
          </w:p>
        </w:tc>
        <w:tc>
          <w:tcPr>
            <w:tcW w:w="2598" w:type="dxa"/>
          </w:tcPr>
          <w:p w14:paraId="6EB125E4" w14:textId="77777777" w:rsidR="00B46671" w:rsidRDefault="00000000">
            <w:pPr>
              <w:pStyle w:val="Compact"/>
              <w:spacing w:before="40" w:after="40" w:line="240" w:lineRule="auto"/>
            </w:pPr>
            <w:r>
              <w:rPr>
                <w:sz w:val="20"/>
              </w:rPr>
              <w:t>Does purchasing power remain stable over multi-year periods without policy intervention?</w:t>
            </w:r>
          </w:p>
        </w:tc>
      </w:tr>
      <w:tr w:rsidR="00B46671" w14:paraId="53654448" w14:textId="77777777">
        <w:tc>
          <w:tcPr>
            <w:tcW w:w="371" w:type="dxa"/>
          </w:tcPr>
          <w:p w14:paraId="430EA94C" w14:textId="77777777" w:rsidR="00B46671" w:rsidRDefault="00000000">
            <w:pPr>
              <w:pStyle w:val="Compact"/>
              <w:spacing w:before="40" w:after="40" w:line="240" w:lineRule="auto"/>
            </w:pPr>
            <w:r>
              <w:rPr>
                <w:sz w:val="20"/>
              </w:rPr>
              <w:t>4</w:t>
            </w:r>
          </w:p>
        </w:tc>
        <w:tc>
          <w:tcPr>
            <w:tcW w:w="1856" w:type="dxa"/>
          </w:tcPr>
          <w:p w14:paraId="2481AAEB" w14:textId="77777777" w:rsidR="00B46671" w:rsidRDefault="00000000">
            <w:pPr>
              <w:pStyle w:val="Compact"/>
              <w:spacing w:before="40" w:after="40" w:line="240" w:lineRule="auto"/>
            </w:pPr>
            <w:r>
              <w:rPr>
                <w:sz w:val="20"/>
              </w:rPr>
              <w:t>Universal Acceptance</w:t>
            </w:r>
          </w:p>
        </w:tc>
        <w:tc>
          <w:tcPr>
            <w:tcW w:w="1608" w:type="dxa"/>
          </w:tcPr>
          <w:p w14:paraId="1D86B8D6" w14:textId="77777777" w:rsidR="00B46671" w:rsidRDefault="00000000">
            <w:pPr>
              <w:pStyle w:val="Compact"/>
              <w:spacing w:before="40" w:after="40" w:line="240" w:lineRule="auto"/>
            </w:pPr>
            <w:proofErr w:type="spellStart"/>
            <w:r>
              <w:rPr>
                <w:sz w:val="20"/>
              </w:rPr>
              <w:t>Rawaj</w:t>
            </w:r>
            <w:proofErr w:type="spellEnd"/>
          </w:p>
        </w:tc>
        <w:tc>
          <w:tcPr>
            <w:tcW w:w="1485" w:type="dxa"/>
          </w:tcPr>
          <w:p w14:paraId="546DBDD0" w14:textId="77777777" w:rsidR="00B46671" w:rsidRDefault="00000000">
            <w:pPr>
              <w:pStyle w:val="Compact"/>
              <w:spacing w:before="40" w:after="40" w:line="240" w:lineRule="auto"/>
            </w:pPr>
            <w:r>
              <w:rPr>
                <w:sz w:val="20"/>
              </w:rPr>
              <w:t>Accepted broadly through demonstrated utility, not coercion</w:t>
            </w:r>
          </w:p>
        </w:tc>
        <w:tc>
          <w:tcPr>
            <w:tcW w:w="2598" w:type="dxa"/>
          </w:tcPr>
          <w:p w14:paraId="1117A6C3" w14:textId="77777777" w:rsidR="00B46671" w:rsidRDefault="00000000">
            <w:pPr>
              <w:pStyle w:val="Compact"/>
              <w:spacing w:before="40" w:after="40" w:line="240" w:lineRule="auto"/>
            </w:pPr>
            <w:r>
              <w:rPr>
                <w:sz w:val="20"/>
              </w:rPr>
              <w:t>Is acceptance voluntary and based on perceived intrinsic value rather than legal mandate?</w:t>
            </w:r>
          </w:p>
        </w:tc>
      </w:tr>
      <w:tr w:rsidR="00B46671" w14:paraId="4ED36925" w14:textId="77777777">
        <w:tc>
          <w:tcPr>
            <w:tcW w:w="371" w:type="dxa"/>
          </w:tcPr>
          <w:p w14:paraId="6EF955E5" w14:textId="77777777" w:rsidR="00B46671" w:rsidRDefault="00000000">
            <w:pPr>
              <w:pStyle w:val="Compact"/>
              <w:spacing w:before="40" w:after="40" w:line="240" w:lineRule="auto"/>
            </w:pPr>
            <w:r>
              <w:rPr>
                <w:sz w:val="20"/>
              </w:rPr>
              <w:t>5</w:t>
            </w:r>
          </w:p>
        </w:tc>
        <w:tc>
          <w:tcPr>
            <w:tcW w:w="1856" w:type="dxa"/>
          </w:tcPr>
          <w:p w14:paraId="6E6126ED" w14:textId="77777777" w:rsidR="00B46671" w:rsidRDefault="00000000">
            <w:pPr>
              <w:pStyle w:val="Compact"/>
              <w:spacing w:before="40" w:after="40" w:line="240" w:lineRule="auto"/>
            </w:pPr>
            <w:r>
              <w:rPr>
                <w:sz w:val="20"/>
              </w:rPr>
              <w:t>Knowable Quality</w:t>
            </w:r>
          </w:p>
        </w:tc>
        <w:tc>
          <w:tcPr>
            <w:tcW w:w="1608" w:type="dxa"/>
          </w:tcPr>
          <w:p w14:paraId="201F524D" w14:textId="77777777" w:rsidR="00B46671" w:rsidRDefault="00000000">
            <w:pPr>
              <w:pStyle w:val="Compact"/>
              <w:spacing w:before="40" w:after="40" w:line="240" w:lineRule="auto"/>
            </w:pPr>
            <w:r>
              <w:rPr>
                <w:sz w:val="20"/>
              </w:rPr>
              <w:t xml:space="preserve">Sifah </w:t>
            </w:r>
            <w:proofErr w:type="spellStart"/>
            <w:r>
              <w:rPr>
                <w:sz w:val="20"/>
              </w:rPr>
              <w:t>Ma’lumah</w:t>
            </w:r>
            <w:proofErr w:type="spellEnd"/>
          </w:p>
        </w:tc>
        <w:tc>
          <w:tcPr>
            <w:tcW w:w="1485" w:type="dxa"/>
          </w:tcPr>
          <w:p w14:paraId="6CA525B8" w14:textId="77777777" w:rsidR="00B46671" w:rsidRDefault="00000000">
            <w:pPr>
              <w:pStyle w:val="Compact"/>
              <w:spacing w:before="40" w:after="40" w:line="240" w:lineRule="auto"/>
            </w:pPr>
            <w:r>
              <w:rPr>
                <w:sz w:val="20"/>
              </w:rPr>
              <w:t>Quality and value can be assessed at time of transaction</w:t>
            </w:r>
          </w:p>
        </w:tc>
        <w:tc>
          <w:tcPr>
            <w:tcW w:w="2598" w:type="dxa"/>
          </w:tcPr>
          <w:p w14:paraId="16A4E434" w14:textId="77777777" w:rsidR="00B46671" w:rsidRDefault="00000000">
            <w:pPr>
              <w:pStyle w:val="Compact"/>
              <w:spacing w:before="40" w:after="40" w:line="240" w:lineRule="auto"/>
            </w:pPr>
            <w:r>
              <w:rPr>
                <w:sz w:val="20"/>
              </w:rPr>
              <w:t>Can both parties determine real (not merely nominal) value at the point of exchange?</w:t>
            </w:r>
          </w:p>
        </w:tc>
      </w:tr>
      <w:tr w:rsidR="00B46671" w14:paraId="6CDCA261" w14:textId="77777777">
        <w:tc>
          <w:tcPr>
            <w:tcW w:w="371" w:type="dxa"/>
          </w:tcPr>
          <w:p w14:paraId="1F758A82" w14:textId="77777777" w:rsidR="00B46671" w:rsidRDefault="00000000">
            <w:pPr>
              <w:pStyle w:val="Compact"/>
              <w:spacing w:before="40" w:after="40" w:line="240" w:lineRule="auto"/>
            </w:pPr>
            <w:r>
              <w:rPr>
                <w:sz w:val="20"/>
              </w:rPr>
              <w:t>6</w:t>
            </w:r>
          </w:p>
        </w:tc>
        <w:tc>
          <w:tcPr>
            <w:tcW w:w="1856" w:type="dxa"/>
          </w:tcPr>
          <w:p w14:paraId="7B4F5D70" w14:textId="77777777" w:rsidR="00B46671" w:rsidRDefault="00000000">
            <w:pPr>
              <w:pStyle w:val="Compact"/>
              <w:spacing w:before="40" w:after="40" w:line="240" w:lineRule="auto"/>
            </w:pPr>
            <w:r>
              <w:rPr>
                <w:sz w:val="20"/>
              </w:rPr>
              <w:t>Measurability</w:t>
            </w:r>
          </w:p>
        </w:tc>
        <w:tc>
          <w:tcPr>
            <w:tcW w:w="1608" w:type="dxa"/>
          </w:tcPr>
          <w:p w14:paraId="2EC08514" w14:textId="77777777" w:rsidR="00B46671" w:rsidRDefault="00000000">
            <w:pPr>
              <w:pStyle w:val="Compact"/>
              <w:spacing w:before="40" w:after="40" w:line="240" w:lineRule="auto"/>
            </w:pPr>
            <w:r>
              <w:rPr>
                <w:sz w:val="20"/>
              </w:rPr>
              <w:t>Kayl / Wazn</w:t>
            </w:r>
          </w:p>
        </w:tc>
        <w:tc>
          <w:tcPr>
            <w:tcW w:w="1485" w:type="dxa"/>
          </w:tcPr>
          <w:p w14:paraId="2ABE1F9E" w14:textId="77777777" w:rsidR="00B46671" w:rsidRDefault="00000000">
            <w:pPr>
              <w:pStyle w:val="Compact"/>
              <w:spacing w:before="40" w:after="40" w:line="240" w:lineRule="auto"/>
            </w:pPr>
            <w:r>
              <w:rPr>
                <w:sz w:val="20"/>
              </w:rPr>
              <w:t xml:space="preserve">Precisely quantifiable in </w:t>
            </w:r>
            <w:proofErr w:type="spellStart"/>
            <w:r>
              <w:rPr>
                <w:sz w:val="20"/>
              </w:rPr>
              <w:t>standardised</w:t>
            </w:r>
            <w:proofErr w:type="spellEnd"/>
            <w:r>
              <w:rPr>
                <w:sz w:val="20"/>
              </w:rPr>
              <w:t xml:space="preserve"> units</w:t>
            </w:r>
          </w:p>
        </w:tc>
        <w:tc>
          <w:tcPr>
            <w:tcW w:w="2598" w:type="dxa"/>
          </w:tcPr>
          <w:p w14:paraId="5ACFB196" w14:textId="77777777" w:rsidR="00B46671" w:rsidRDefault="00000000">
            <w:pPr>
              <w:pStyle w:val="Compact"/>
              <w:spacing w:before="40" w:after="40" w:line="240" w:lineRule="auto"/>
            </w:pPr>
            <w:r>
              <w:rPr>
                <w:sz w:val="20"/>
              </w:rPr>
              <w:t>Can the item be divided and measured with precision in units that retain stable meaning?</w:t>
            </w:r>
          </w:p>
        </w:tc>
      </w:tr>
      <w:tr w:rsidR="00B46671" w14:paraId="58C23BA7" w14:textId="77777777">
        <w:tc>
          <w:tcPr>
            <w:tcW w:w="371" w:type="dxa"/>
          </w:tcPr>
          <w:p w14:paraId="674E49BD" w14:textId="77777777" w:rsidR="00B46671" w:rsidRDefault="00000000">
            <w:pPr>
              <w:pStyle w:val="Compact"/>
              <w:spacing w:before="40" w:after="40" w:line="240" w:lineRule="auto"/>
            </w:pPr>
            <w:r>
              <w:rPr>
                <w:sz w:val="20"/>
              </w:rPr>
              <w:t>7</w:t>
            </w:r>
          </w:p>
        </w:tc>
        <w:tc>
          <w:tcPr>
            <w:tcW w:w="1856" w:type="dxa"/>
          </w:tcPr>
          <w:p w14:paraId="416FC415" w14:textId="77777777" w:rsidR="00B46671" w:rsidRDefault="00000000">
            <w:pPr>
              <w:pStyle w:val="Compact"/>
              <w:spacing w:before="40" w:after="40" w:line="240" w:lineRule="auto"/>
            </w:pPr>
            <w:r>
              <w:rPr>
                <w:sz w:val="20"/>
              </w:rPr>
              <w:t>Essential Utility</w:t>
            </w:r>
          </w:p>
        </w:tc>
        <w:tc>
          <w:tcPr>
            <w:tcW w:w="1608" w:type="dxa"/>
          </w:tcPr>
          <w:p w14:paraId="77C22D19" w14:textId="77777777" w:rsidR="00B46671" w:rsidRDefault="00000000">
            <w:pPr>
              <w:pStyle w:val="Compact"/>
              <w:spacing w:before="40" w:after="40" w:line="240" w:lineRule="auto"/>
            </w:pPr>
            <w:r>
              <w:rPr>
                <w:sz w:val="20"/>
              </w:rPr>
              <w:t>Hajah ’Ammah</w:t>
            </w:r>
          </w:p>
        </w:tc>
        <w:tc>
          <w:tcPr>
            <w:tcW w:w="1485" w:type="dxa"/>
          </w:tcPr>
          <w:p w14:paraId="6F48FF41" w14:textId="77777777" w:rsidR="00B46671" w:rsidRDefault="00000000">
            <w:pPr>
              <w:pStyle w:val="Compact"/>
              <w:spacing w:before="40" w:after="40" w:line="240" w:lineRule="auto"/>
            </w:pPr>
            <w:r>
              <w:rPr>
                <w:sz w:val="20"/>
              </w:rPr>
              <w:t>Serves a fundamental economic or human need</w:t>
            </w:r>
          </w:p>
        </w:tc>
        <w:tc>
          <w:tcPr>
            <w:tcW w:w="2598" w:type="dxa"/>
          </w:tcPr>
          <w:p w14:paraId="5E756576" w14:textId="77777777" w:rsidR="00B46671" w:rsidRDefault="00000000">
            <w:pPr>
              <w:pStyle w:val="Compact"/>
              <w:spacing w:before="40" w:after="40" w:line="240" w:lineRule="auto"/>
            </w:pPr>
            <w:r>
              <w:rPr>
                <w:sz w:val="20"/>
              </w:rPr>
              <w:t>Does the item fulfil a need beyond the monetary system itself?</w:t>
            </w:r>
          </w:p>
        </w:tc>
      </w:tr>
    </w:tbl>
    <w:p w14:paraId="2E776311" w14:textId="77777777" w:rsidR="00B46671" w:rsidRDefault="00000000">
      <w:pPr>
        <w:pStyle w:val="BodyText"/>
      </w:pPr>
      <w:r>
        <w:rPr>
          <w:rFonts w:cs="Times New Roman"/>
        </w:rPr>
        <w:t>The derivation rationale for each characteristic traces directly to the six items. Gold and silver are fungible: one dinar of a given weight and purity is identical to another. Wheat and barley have intrinsic value as sustenance. Dates and salt are durable over relevant time horizons. All six are universally accepted through demonstrated utility in the economies where they circulate. All six have knowable quality that can be assessed at the point of exchange. All six are measurable by weight or volume. All six serve essential human needs independent of any monetary designation.</w:t>
      </w:r>
    </w:p>
    <w:p w14:paraId="35203E25" w14:textId="77777777" w:rsidR="00B46671" w:rsidRDefault="00000000">
      <w:pPr>
        <w:pStyle w:val="Heading3"/>
      </w:pPr>
      <w:bookmarkStart w:id="16" w:name="stage-3-diagnostic-engine-architecture"/>
      <w:bookmarkEnd w:id="15"/>
      <w:r>
        <w:rPr>
          <w:rFonts w:cs="Times New Roman"/>
        </w:rPr>
        <w:t>3.3 Stage 3: Diagnostic Engine Architecture</w:t>
      </w:r>
    </w:p>
    <w:p w14:paraId="30FCE969" w14:textId="77777777" w:rsidR="00B46671" w:rsidRDefault="00000000">
      <w:pPr>
        <w:pStyle w:val="FirstParagraph"/>
      </w:pPr>
      <w:r>
        <w:rPr>
          <w:rFonts w:cs="Times New Roman"/>
        </w:rPr>
        <w:t>The diagnostic engine translates the primary-source framework into a structured, interactive evaluation tool.</w:t>
      </w:r>
    </w:p>
    <w:p w14:paraId="71931E0F" w14:textId="77777777" w:rsidR="00B46671" w:rsidRDefault="00000000">
      <w:pPr>
        <w:pStyle w:val="Heading4"/>
      </w:pPr>
      <w:bookmarkStart w:id="17" w:name="six-entry-categories"/>
      <w:r>
        <w:rPr>
          <w:rFonts w:cs="Times New Roman"/>
        </w:rPr>
        <w:t>3.3.1 Six Entry Categories</w:t>
      </w:r>
    </w:p>
    <w:p w14:paraId="33F51924" w14:textId="77777777" w:rsidR="00B46671" w:rsidRDefault="00000000">
      <w:pPr>
        <w:pStyle w:val="FirstParagraph"/>
      </w:pPr>
      <w:r>
        <w:rPr>
          <w:rFonts w:cs="Times New Roman"/>
        </w:rPr>
        <w:t xml:space="preserve">Financial arrangements are classified into six broad categories: (1) Finance and lending, covering mortgages, home finance, personal finance, business loans, and Islamic financial institution products; (2) Investment, covering stocks, Sukuk, funds, partnerships, cryptocurrency, and property; (3) Trade and exchange, covering goods trade, credit sales, </w:t>
      </w:r>
      <w:proofErr w:type="spellStart"/>
      <w:r>
        <w:rPr>
          <w:rFonts w:cs="Times New Roman"/>
        </w:rPr>
        <w:t>Murabahah</w:t>
      </w:r>
      <w:proofErr w:type="spellEnd"/>
      <w:r>
        <w:rPr>
          <w:rFonts w:cs="Times New Roman"/>
        </w:rPr>
        <w:t xml:space="preserve">, Salam, and commodities; (4) Personal loans and gifts, covering </w:t>
      </w:r>
      <w:proofErr w:type="spellStart"/>
      <w:r>
        <w:rPr>
          <w:rFonts w:cs="Times New Roman"/>
        </w:rPr>
        <w:t>Qard</w:t>
      </w:r>
      <w:proofErr w:type="spellEnd"/>
      <w:r>
        <w:rPr>
          <w:rFonts w:cs="Times New Roman"/>
        </w:rPr>
        <w:t xml:space="preserve"> Hasan, joint ventures, and charitable giving; (5) Currency and money exchange, covering Forex, money changers, remittance, and stablecoins; and (6) Crypto and digital assets, covering Bitcoin, altcoins, DeFi protocols, NFTs, and </w:t>
      </w:r>
      <w:proofErr w:type="spellStart"/>
      <w:r>
        <w:rPr>
          <w:rFonts w:cs="Times New Roman"/>
        </w:rPr>
        <w:t>tokenised</w:t>
      </w:r>
      <w:proofErr w:type="spellEnd"/>
      <w:r>
        <w:rPr>
          <w:rFonts w:cs="Times New Roman"/>
        </w:rPr>
        <w:t xml:space="preserve"> real-world assets.</w:t>
      </w:r>
    </w:p>
    <w:p w14:paraId="5CD23EF0" w14:textId="77777777" w:rsidR="00B46671" w:rsidRDefault="00000000">
      <w:pPr>
        <w:pStyle w:val="BodyText"/>
      </w:pPr>
      <w:r>
        <w:rPr>
          <w:rFonts w:cs="Times New Roman"/>
        </w:rPr>
        <w:lastRenderedPageBreak/>
        <w:t>Each category contains sub-types with tailored question sets that address the specific structural risks of that arrangement type.</w:t>
      </w:r>
    </w:p>
    <w:p w14:paraId="08C55442" w14:textId="77777777" w:rsidR="00B46671" w:rsidRDefault="00000000">
      <w:pPr>
        <w:pStyle w:val="Heading4"/>
      </w:pPr>
      <w:bookmarkStart w:id="18" w:name="the-dual-track-framework"/>
      <w:bookmarkEnd w:id="17"/>
      <w:r>
        <w:rPr>
          <w:rFonts w:cs="Times New Roman"/>
        </w:rPr>
        <w:t>3.3.2 The Dual-Track Framework</w:t>
      </w:r>
    </w:p>
    <w:p w14:paraId="153E1E01" w14:textId="77777777" w:rsidR="00B46671" w:rsidRDefault="00000000">
      <w:pPr>
        <w:pStyle w:val="FirstParagraph"/>
      </w:pPr>
      <w:r>
        <w:rPr>
          <w:rFonts w:cs="Times New Roman"/>
        </w:rPr>
        <w:t>The tool introduces a critical methodological innovation: three entry points that make the analytical framework explicit.</w:t>
      </w:r>
    </w:p>
    <w:p w14:paraId="0B11BE6B" w14:textId="77777777" w:rsidR="00B46671" w:rsidRDefault="00000000">
      <w:pPr>
        <w:pStyle w:val="BodyText"/>
      </w:pPr>
      <w:r>
        <w:rPr>
          <w:rFonts w:cs="Times New Roman"/>
        </w:rPr>
        <w:t xml:space="preserve">The first entry point, “Classical monetary medium,” applies the full </w:t>
      </w:r>
      <w:proofErr w:type="spellStart"/>
      <w:r>
        <w:rPr>
          <w:rFonts w:cs="Times New Roman"/>
        </w:rPr>
        <w:t>ribawi</w:t>
      </w:r>
      <w:proofErr w:type="spellEnd"/>
      <w:r>
        <w:rPr>
          <w:rFonts w:cs="Times New Roman"/>
        </w:rPr>
        <w:t xml:space="preserve"> conditions without qualification. This applies to gold, silver, and genuine </w:t>
      </w:r>
      <w:proofErr w:type="spellStart"/>
      <w:r>
        <w:rPr>
          <w:rFonts w:cs="Times New Roman"/>
        </w:rPr>
        <w:t>ribawi</w:t>
      </w:r>
      <w:proofErr w:type="spellEnd"/>
      <w:r>
        <w:rPr>
          <w:rFonts w:cs="Times New Roman"/>
        </w:rPr>
        <w:t xml:space="preserve"> commodities.</w:t>
      </w:r>
    </w:p>
    <w:p w14:paraId="42C2CF3C" w14:textId="77777777" w:rsidR="00B46671" w:rsidRDefault="00000000">
      <w:pPr>
        <w:pStyle w:val="BodyText"/>
      </w:pPr>
      <w:r>
        <w:rPr>
          <w:rFonts w:cs="Times New Roman"/>
        </w:rPr>
        <w:t xml:space="preserve">The second entry point, “Fiat, treated as classical money,” represents the mainstream scholarly position. Under this framework, fiat currency carries </w:t>
      </w:r>
      <w:proofErr w:type="spellStart"/>
      <w:r>
        <w:rPr>
          <w:rFonts w:cs="Times New Roman"/>
        </w:rPr>
        <w:t>thamaniyyah</w:t>
      </w:r>
      <w:proofErr w:type="spellEnd"/>
      <w:r>
        <w:rPr>
          <w:rFonts w:cs="Times New Roman"/>
        </w:rPr>
        <w:t xml:space="preserve"> (monetary nature), and therefore the same </w:t>
      </w:r>
      <w:proofErr w:type="spellStart"/>
      <w:r>
        <w:rPr>
          <w:rFonts w:cs="Times New Roman"/>
        </w:rPr>
        <w:t>ribawi</w:t>
      </w:r>
      <w:proofErr w:type="spellEnd"/>
      <w:r>
        <w:rPr>
          <w:rFonts w:cs="Times New Roman"/>
        </w:rPr>
        <w:t xml:space="preserve"> rules apply. This routes to the classical analytical track.</w:t>
      </w:r>
    </w:p>
    <w:p w14:paraId="46950BC2" w14:textId="77777777" w:rsidR="00B46671" w:rsidRDefault="00000000">
      <w:pPr>
        <w:pStyle w:val="BodyText"/>
      </w:pPr>
      <w:r>
        <w:rPr>
          <w:rFonts w:cs="Times New Roman"/>
        </w:rPr>
        <w:t xml:space="preserve">The third entry point, “Fiat, research framework,” applies the findings of the </w:t>
      </w:r>
      <w:proofErr w:type="spellStart"/>
      <w:r>
        <w:rPr>
          <w:rFonts w:cs="Times New Roman"/>
        </w:rPr>
        <w:t>ribawi</w:t>
      </w:r>
      <w:proofErr w:type="spellEnd"/>
      <w:r>
        <w:rPr>
          <w:rFonts w:cs="Times New Roman"/>
        </w:rPr>
        <w:t xml:space="preserve"> characteristics analysis. Under this framework, fiat currency fails all seven </w:t>
      </w:r>
      <w:proofErr w:type="spellStart"/>
      <w:r>
        <w:rPr>
          <w:rFonts w:cs="Times New Roman"/>
        </w:rPr>
        <w:t>ribawi</w:t>
      </w:r>
      <w:proofErr w:type="spellEnd"/>
      <w:r>
        <w:rPr>
          <w:rFonts w:cs="Times New Roman"/>
        </w:rPr>
        <w:t xml:space="preserve"> characteristics, and what is conventionally called “interest” on fiat transactions is </w:t>
      </w:r>
      <w:proofErr w:type="spellStart"/>
      <w:r>
        <w:rPr>
          <w:rFonts w:cs="Times New Roman"/>
        </w:rPr>
        <w:t>analysed</w:t>
      </w:r>
      <w:proofErr w:type="spellEnd"/>
      <w:r>
        <w:rPr>
          <w:rFonts w:cs="Times New Roman"/>
        </w:rPr>
        <w:t xml:space="preserve"> separately from Riba in the Quranic sense. Critically, personal loans between individuals are still held to the full classical </w:t>
      </w:r>
      <w:proofErr w:type="spellStart"/>
      <w:r>
        <w:rPr>
          <w:rFonts w:cs="Times New Roman"/>
        </w:rPr>
        <w:t>Qard</w:t>
      </w:r>
      <w:proofErr w:type="spellEnd"/>
      <w:r>
        <w:rPr>
          <w:rFonts w:cs="Times New Roman"/>
        </w:rPr>
        <w:t xml:space="preserve"> Hasan standard even on this track, because the </w:t>
      </w:r>
      <w:proofErr w:type="spellStart"/>
      <w:r>
        <w:rPr>
          <w:rFonts w:cs="Times New Roman"/>
        </w:rPr>
        <w:t>Qard</w:t>
      </w:r>
      <w:proofErr w:type="spellEnd"/>
      <w:r>
        <w:rPr>
          <w:rFonts w:cs="Times New Roman"/>
        </w:rPr>
        <w:t xml:space="preserve"> relationship is one of brotherhood and mutual support, not institutional capital deployment.</w:t>
      </w:r>
    </w:p>
    <w:p w14:paraId="5EF0FEF2" w14:textId="77777777" w:rsidR="00B46671" w:rsidRDefault="00000000">
      <w:pPr>
        <w:pStyle w:val="BodyText"/>
      </w:pPr>
      <w:r>
        <w:rPr>
          <w:rFonts w:cs="Times New Roman"/>
        </w:rPr>
        <w:t>The user selects their analytical framework explicitly. The tool does not impose a position. Both tracks lead to the same structural analysis of the arrangement. Neither permits exploitation.</w:t>
      </w:r>
    </w:p>
    <w:p w14:paraId="5E717236" w14:textId="77777777" w:rsidR="00B46671" w:rsidRDefault="00000000">
      <w:pPr>
        <w:pStyle w:val="Heading4"/>
      </w:pPr>
      <w:bookmarkStart w:id="19" w:name="the-strip-test"/>
      <w:bookmarkEnd w:id="18"/>
      <w:r>
        <w:rPr>
          <w:rFonts w:cs="Times New Roman"/>
        </w:rPr>
        <w:t>3.3.3 The Strip Test</w:t>
      </w:r>
    </w:p>
    <w:p w14:paraId="41377BD3" w14:textId="77777777" w:rsidR="00B46671" w:rsidRDefault="00000000">
      <w:pPr>
        <w:pStyle w:val="FirstParagraph"/>
      </w:pPr>
      <w:r>
        <w:rPr>
          <w:rFonts w:cs="Times New Roman"/>
        </w:rPr>
        <w:t>The most important diagnostic question in the framework is drawn directly from the form-versus-substance analysis of Ibn Qayyim and Ibn Taymiyyah: if you remove the asset, the commodity, or the trade steps from this arrangement, what remains?</w:t>
      </w:r>
    </w:p>
    <w:p w14:paraId="08963150" w14:textId="77777777" w:rsidR="00B46671" w:rsidRDefault="00000000">
      <w:pPr>
        <w:pStyle w:val="BodyText"/>
      </w:pPr>
      <w:r>
        <w:rPr>
          <w:rFonts w:cs="Times New Roman"/>
        </w:rPr>
        <w:t>If what remains is money in, more money out, by prior agreement, the arrangement contains Riba. The asset, commodity, or formal trade steps functioned as a Hilah (legal device). This single question, applied consistently, identifies the structural pattern that distinguishes genuine Bay’ from disguised lending.</w:t>
      </w:r>
    </w:p>
    <w:p w14:paraId="04EE6D82" w14:textId="77777777" w:rsidR="00B46671" w:rsidRDefault="00000000">
      <w:pPr>
        <w:pStyle w:val="Heading4"/>
      </w:pPr>
      <w:bookmarkStart w:id="20" w:name="finding-categories"/>
      <w:bookmarkEnd w:id="19"/>
      <w:r>
        <w:rPr>
          <w:rFonts w:cs="Times New Roman"/>
        </w:rPr>
        <w:t>3.3.4 Finding Categories</w:t>
      </w:r>
    </w:p>
    <w:p w14:paraId="49EBC47B" w14:textId="77777777" w:rsidR="00B46671" w:rsidRDefault="00000000">
      <w:pPr>
        <w:pStyle w:val="FirstParagraph"/>
      </w:pPr>
      <w:r>
        <w:rPr>
          <w:rFonts w:cs="Times New Roman"/>
        </w:rPr>
        <w:t xml:space="preserve">The diagnostic engine evaluates 15 specific </w:t>
      </w:r>
      <w:proofErr w:type="gramStart"/>
      <w:r>
        <w:rPr>
          <w:rFonts w:cs="Times New Roman"/>
        </w:rPr>
        <w:t>patterns,</w:t>
      </w:r>
      <w:proofErr w:type="gramEnd"/>
      <w:r>
        <w:rPr>
          <w:rFonts w:cs="Times New Roman"/>
        </w:rPr>
        <w:t xml:space="preserve"> each linked to primary-source citations:</w:t>
      </w:r>
    </w:p>
    <w:p w14:paraId="74DD7B9F" w14:textId="77777777" w:rsidR="00B46671" w:rsidRDefault="00000000">
      <w:pPr>
        <w:pStyle w:val="Compact"/>
        <w:numPr>
          <w:ilvl w:val="0"/>
          <w:numId w:val="2"/>
        </w:numPr>
      </w:pPr>
      <w:r>
        <w:rPr>
          <w:rFonts w:cs="Times New Roman"/>
        </w:rPr>
        <w:t>Core Riba (stipulated excess above the principal)</w:t>
      </w:r>
    </w:p>
    <w:p w14:paraId="6FDC73E7" w14:textId="77777777" w:rsidR="00B46671" w:rsidRDefault="00000000">
      <w:pPr>
        <w:pStyle w:val="Compact"/>
        <w:numPr>
          <w:ilvl w:val="0"/>
          <w:numId w:val="2"/>
        </w:numPr>
      </w:pPr>
      <w:r>
        <w:rPr>
          <w:rFonts w:cs="Times New Roman"/>
        </w:rPr>
        <w:lastRenderedPageBreak/>
        <w:t>Fixed and predetermined returns (not from genuine trade)</w:t>
      </w:r>
    </w:p>
    <w:p w14:paraId="7757498B" w14:textId="77777777" w:rsidR="00B46671" w:rsidRDefault="00000000">
      <w:pPr>
        <w:pStyle w:val="Compact"/>
        <w:numPr>
          <w:ilvl w:val="0"/>
          <w:numId w:val="2"/>
        </w:numPr>
      </w:pPr>
      <w:r>
        <w:rPr>
          <w:rFonts w:cs="Times New Roman"/>
        </w:rPr>
        <w:t>Absent genuine ownership (violation of Bay’ conditions)</w:t>
      </w:r>
    </w:p>
    <w:p w14:paraId="6AAD5799" w14:textId="77777777" w:rsidR="00B46671" w:rsidRDefault="00000000">
      <w:pPr>
        <w:pStyle w:val="Compact"/>
        <w:numPr>
          <w:ilvl w:val="0"/>
          <w:numId w:val="2"/>
        </w:numPr>
      </w:pPr>
      <w:r>
        <w:rPr>
          <w:rFonts w:cs="Times New Roman"/>
        </w:rPr>
        <w:t>Nominal ownership (title without risk exposure)</w:t>
      </w:r>
    </w:p>
    <w:p w14:paraId="17067D66" w14:textId="77777777" w:rsidR="00B46671" w:rsidRDefault="00000000">
      <w:pPr>
        <w:pStyle w:val="Compact"/>
        <w:numPr>
          <w:ilvl w:val="0"/>
          <w:numId w:val="2"/>
        </w:numPr>
      </w:pPr>
      <w:r>
        <w:rPr>
          <w:rFonts w:cs="Times New Roman"/>
        </w:rPr>
        <w:t>Absent genuine risk (violation of al-</w:t>
      </w:r>
      <w:proofErr w:type="spellStart"/>
      <w:r>
        <w:rPr>
          <w:rFonts w:cs="Times New Roman"/>
        </w:rPr>
        <w:t>kharaj</w:t>
      </w:r>
      <w:proofErr w:type="spellEnd"/>
      <w:r>
        <w:rPr>
          <w:rFonts w:cs="Times New Roman"/>
        </w:rPr>
        <w:t xml:space="preserve"> </w:t>
      </w:r>
      <w:proofErr w:type="spellStart"/>
      <w:r>
        <w:rPr>
          <w:rFonts w:cs="Times New Roman"/>
        </w:rPr>
        <w:t>bil</w:t>
      </w:r>
      <w:proofErr w:type="spellEnd"/>
      <w:r>
        <w:rPr>
          <w:rFonts w:cs="Times New Roman"/>
        </w:rPr>
        <w:t>-daman)</w:t>
      </w:r>
    </w:p>
    <w:p w14:paraId="6F056C59" w14:textId="77777777" w:rsidR="00B46671" w:rsidRDefault="00000000">
      <w:pPr>
        <w:pStyle w:val="Compact"/>
        <w:numPr>
          <w:ilvl w:val="0"/>
          <w:numId w:val="2"/>
        </w:numPr>
      </w:pPr>
      <w:r>
        <w:rPr>
          <w:rFonts w:cs="Times New Roman"/>
        </w:rPr>
        <w:t>Growing Dayn (Riba al-</w:t>
      </w:r>
      <w:proofErr w:type="spellStart"/>
      <w:r>
        <w:rPr>
          <w:rFonts w:cs="Times New Roman"/>
        </w:rPr>
        <w:t>Nasi’ah</w:t>
      </w:r>
      <w:proofErr w:type="spellEnd"/>
      <w:r>
        <w:rPr>
          <w:rFonts w:cs="Times New Roman"/>
        </w:rPr>
        <w:t>)</w:t>
      </w:r>
    </w:p>
    <w:p w14:paraId="3E1A784F" w14:textId="77777777" w:rsidR="00B46671" w:rsidRDefault="00000000">
      <w:pPr>
        <w:pStyle w:val="Compact"/>
        <w:numPr>
          <w:ilvl w:val="0"/>
          <w:numId w:val="2"/>
        </w:numPr>
      </w:pPr>
      <w:r>
        <w:rPr>
          <w:rFonts w:cs="Times New Roman"/>
        </w:rPr>
        <w:t>Hilah/subterfuge (strip test failure)</w:t>
      </w:r>
    </w:p>
    <w:p w14:paraId="188650C8" w14:textId="77777777" w:rsidR="00B46671" w:rsidRDefault="00000000">
      <w:pPr>
        <w:pStyle w:val="Compact"/>
        <w:numPr>
          <w:ilvl w:val="0"/>
          <w:numId w:val="2"/>
        </w:numPr>
      </w:pPr>
      <w:proofErr w:type="spellStart"/>
      <w:r>
        <w:rPr>
          <w:rFonts w:cs="Times New Roman"/>
        </w:rPr>
        <w:t>Organised</w:t>
      </w:r>
      <w:proofErr w:type="spellEnd"/>
      <w:r>
        <w:rPr>
          <w:rFonts w:cs="Times New Roman"/>
        </w:rPr>
        <w:t xml:space="preserve"> </w:t>
      </w:r>
      <w:proofErr w:type="spellStart"/>
      <w:r>
        <w:rPr>
          <w:rFonts w:cs="Times New Roman"/>
        </w:rPr>
        <w:t>Tawarruq</w:t>
      </w:r>
      <w:proofErr w:type="spellEnd"/>
      <w:r>
        <w:rPr>
          <w:rFonts w:cs="Times New Roman"/>
        </w:rPr>
        <w:t xml:space="preserve"> (Islamic Fiqh Academy Resolution 179)</w:t>
      </w:r>
    </w:p>
    <w:p w14:paraId="73D5D993" w14:textId="77777777" w:rsidR="00B46671" w:rsidRDefault="00000000">
      <w:pPr>
        <w:pStyle w:val="Compact"/>
        <w:numPr>
          <w:ilvl w:val="0"/>
          <w:numId w:val="2"/>
        </w:numPr>
      </w:pPr>
      <w:r>
        <w:rPr>
          <w:rFonts w:cs="Times New Roman"/>
        </w:rPr>
        <w:t>Prohibited underlying activity</w:t>
      </w:r>
    </w:p>
    <w:p w14:paraId="6E08E332" w14:textId="77777777" w:rsidR="00B46671" w:rsidRDefault="00000000">
      <w:pPr>
        <w:pStyle w:val="Compact"/>
        <w:numPr>
          <w:ilvl w:val="0"/>
          <w:numId w:val="2"/>
        </w:numPr>
      </w:pPr>
      <w:r>
        <w:rPr>
          <w:rFonts w:cs="Times New Roman"/>
        </w:rPr>
        <w:t xml:space="preserve">Leverage (combined Riba, </w:t>
      </w:r>
      <w:proofErr w:type="spellStart"/>
      <w:r>
        <w:rPr>
          <w:rFonts w:cs="Times New Roman"/>
        </w:rPr>
        <w:t>Gharar</w:t>
      </w:r>
      <w:proofErr w:type="spellEnd"/>
      <w:r>
        <w:rPr>
          <w:rFonts w:cs="Times New Roman"/>
        </w:rPr>
        <w:t xml:space="preserve">, and </w:t>
      </w:r>
      <w:proofErr w:type="spellStart"/>
      <w:r>
        <w:rPr>
          <w:rFonts w:cs="Times New Roman"/>
        </w:rPr>
        <w:t>Maysir</w:t>
      </w:r>
      <w:proofErr w:type="spellEnd"/>
      <w:r>
        <w:rPr>
          <w:rFonts w:cs="Times New Roman"/>
        </w:rPr>
        <w:t>)</w:t>
      </w:r>
    </w:p>
    <w:p w14:paraId="6600ECAC" w14:textId="77777777" w:rsidR="00B46671" w:rsidRDefault="00000000">
      <w:pPr>
        <w:pStyle w:val="Compact"/>
        <w:numPr>
          <w:ilvl w:val="0"/>
          <w:numId w:val="2"/>
        </w:numPr>
      </w:pPr>
      <w:r>
        <w:rPr>
          <w:rFonts w:cs="Times New Roman"/>
        </w:rPr>
        <w:t>Speculative activity (</w:t>
      </w:r>
      <w:proofErr w:type="spellStart"/>
      <w:r>
        <w:rPr>
          <w:rFonts w:cs="Times New Roman"/>
        </w:rPr>
        <w:t>Maysir</w:t>
      </w:r>
      <w:proofErr w:type="spellEnd"/>
      <w:r>
        <w:rPr>
          <w:rFonts w:cs="Times New Roman"/>
        </w:rPr>
        <w:t xml:space="preserve"> concern)</w:t>
      </w:r>
    </w:p>
    <w:p w14:paraId="4C8477E6" w14:textId="77777777" w:rsidR="00B46671" w:rsidRDefault="00000000">
      <w:pPr>
        <w:pStyle w:val="Compact"/>
        <w:numPr>
          <w:ilvl w:val="0"/>
          <w:numId w:val="2"/>
        </w:numPr>
      </w:pPr>
      <w:r>
        <w:rPr>
          <w:rFonts w:cs="Times New Roman"/>
        </w:rPr>
        <w:t>Excessive uncertainty (</w:t>
      </w:r>
      <w:proofErr w:type="spellStart"/>
      <w:r>
        <w:rPr>
          <w:rFonts w:cs="Times New Roman"/>
        </w:rPr>
        <w:t>Gharar</w:t>
      </w:r>
      <w:proofErr w:type="spellEnd"/>
      <w:r>
        <w:rPr>
          <w:rFonts w:cs="Times New Roman"/>
        </w:rPr>
        <w:t>)</w:t>
      </w:r>
    </w:p>
    <w:p w14:paraId="10F87E3C" w14:textId="77777777" w:rsidR="00B46671" w:rsidRDefault="00000000">
      <w:pPr>
        <w:pStyle w:val="Compact"/>
        <w:numPr>
          <w:ilvl w:val="0"/>
          <w:numId w:val="2"/>
        </w:numPr>
      </w:pPr>
      <w:r>
        <w:rPr>
          <w:rFonts w:cs="Times New Roman"/>
        </w:rPr>
        <w:t>Guaranteed returns (confirming loan, not investment)</w:t>
      </w:r>
    </w:p>
    <w:p w14:paraId="280F88CF" w14:textId="77777777" w:rsidR="00B46671" w:rsidRDefault="00000000">
      <w:pPr>
        <w:pStyle w:val="Compact"/>
        <w:numPr>
          <w:ilvl w:val="0"/>
          <w:numId w:val="2"/>
        </w:numPr>
      </w:pPr>
      <w:r>
        <w:rPr>
          <w:rFonts w:cs="Times New Roman"/>
        </w:rPr>
        <w:t>Inescapable Dayn (Maqasid concern, Hifz al-Mal)</w:t>
      </w:r>
    </w:p>
    <w:p w14:paraId="77002BD6" w14:textId="77777777" w:rsidR="00B46671" w:rsidRDefault="00000000">
      <w:pPr>
        <w:pStyle w:val="Compact"/>
        <w:numPr>
          <w:ilvl w:val="0"/>
          <w:numId w:val="2"/>
        </w:numPr>
      </w:pPr>
      <w:r>
        <w:rPr>
          <w:rFonts w:cs="Times New Roman"/>
        </w:rPr>
        <w:t>Riba al-Fadl (unequal same-type exchange)</w:t>
      </w:r>
    </w:p>
    <w:p w14:paraId="5C9EAB40" w14:textId="77777777" w:rsidR="00B46671" w:rsidRDefault="00000000">
      <w:pPr>
        <w:pStyle w:val="FirstParagraph"/>
      </w:pPr>
      <w:r>
        <w:rPr>
          <w:rFonts w:cs="Times New Roman"/>
        </w:rPr>
        <w:t>Each finding includes a severity classification (fatal, warning, pass, or informational), a detailed explanation of the principle violated, and specific source citations.</w:t>
      </w:r>
    </w:p>
    <w:p w14:paraId="4E1C8F7D" w14:textId="77777777" w:rsidR="00B46671" w:rsidRDefault="00000000">
      <w:pPr>
        <w:pStyle w:val="Heading4"/>
      </w:pPr>
      <w:bookmarkStart w:id="21" w:name="source-tracing"/>
      <w:bookmarkEnd w:id="20"/>
      <w:r>
        <w:rPr>
          <w:rFonts w:cs="Times New Roman"/>
        </w:rPr>
        <w:t>3.3.5 Source Tracing</w:t>
      </w:r>
    </w:p>
    <w:p w14:paraId="38B99510" w14:textId="77777777" w:rsidR="00B46671" w:rsidRDefault="00000000">
      <w:pPr>
        <w:pStyle w:val="FirstParagraph"/>
      </w:pPr>
      <w:r>
        <w:rPr>
          <w:rFonts w:cs="Times New Roman"/>
        </w:rPr>
        <w:t>Every diagnostic finding is linked to its evidential chain. A finding identifying core Riba, for instance, cites Surah Al-Baqarah 2:275-279, the root analysis of R-B-W, the commentary of Ibn Abbas, Al-Tabari’s Jami’ al-Bayan, and Al-Qurtubi’s Al-Jami’ li-Ahkam al-Qur’an. No finding is presented without primary-source grounding.</w:t>
      </w:r>
    </w:p>
    <w:p w14:paraId="42985ACF" w14:textId="77777777" w:rsidR="00B46671" w:rsidRDefault="00000000">
      <w:pPr>
        <w:pStyle w:val="Heading4"/>
      </w:pPr>
      <w:bookmarkStart w:id="22" w:name="implementation"/>
      <w:bookmarkEnd w:id="21"/>
      <w:r>
        <w:rPr>
          <w:rFonts w:cs="Times New Roman"/>
        </w:rPr>
        <w:t>3.3.6 Implementation</w:t>
      </w:r>
    </w:p>
    <w:p w14:paraId="69E0826D" w14:textId="77777777" w:rsidR="00B46671" w:rsidRDefault="00000000">
      <w:pPr>
        <w:pStyle w:val="FirstParagraph"/>
      </w:pPr>
      <w:r>
        <w:rPr>
          <w:rFonts w:cs="Times New Roman"/>
        </w:rPr>
        <w:t>Mizan is implemented as a browser-based, open-access tool. It requires no registration, collects no user data, and operates entirely client-side. The diagnostic engine is rule-based (not machine learning), ensuring deterministic, reproducible outputs: the same inputs always produce the same findings. The tool is freely available at https://azim.cc/tools/mizan.</w:t>
      </w:r>
    </w:p>
    <w:p w14:paraId="64F87785" w14:textId="77777777" w:rsidR="00B46671" w:rsidRDefault="00000000">
      <w:r>
        <w:rPr>
          <w:rFonts w:cs="Times New Roman"/>
        </w:rPr>
        <w:pict w14:anchorId="34DA835B">
          <v:rect id="_x0000_i1029" style="width:0;height:1.5pt" o:hralign="center" o:hrstd="t" o:hr="t"/>
        </w:pict>
      </w:r>
    </w:p>
    <w:p w14:paraId="2B0E270C" w14:textId="77777777" w:rsidR="00B46671" w:rsidRDefault="00000000">
      <w:pPr>
        <w:pStyle w:val="Heading2"/>
      </w:pPr>
      <w:bookmarkStart w:id="23" w:name="findings"/>
      <w:bookmarkEnd w:id="12"/>
      <w:bookmarkEnd w:id="16"/>
      <w:bookmarkEnd w:id="22"/>
      <w:r>
        <w:rPr>
          <w:rFonts w:ascii="Times New Roman" w:hAnsi="Times New Roman" w:cs="Times New Roman"/>
        </w:rPr>
        <w:lastRenderedPageBreak/>
        <w:t>4. Findings</w:t>
      </w:r>
    </w:p>
    <w:p w14:paraId="58FCC941" w14:textId="77777777" w:rsidR="00B46671" w:rsidRDefault="00000000">
      <w:pPr>
        <w:pStyle w:val="Heading3"/>
      </w:pPr>
      <w:bookmarkStart w:id="24" w:name="X5fd0277b72a6933eece8d04350763bf0c4b6ec8"/>
      <w:r>
        <w:rPr>
          <w:rFonts w:cs="Times New Roman"/>
        </w:rPr>
        <w:t xml:space="preserve">4.1 </w:t>
      </w:r>
      <w:proofErr w:type="spellStart"/>
      <w:r>
        <w:rPr>
          <w:rFonts w:cs="Times New Roman"/>
        </w:rPr>
        <w:t>Ribawi</w:t>
      </w:r>
      <w:proofErr w:type="spellEnd"/>
      <w:r>
        <w:rPr>
          <w:rFonts w:cs="Times New Roman"/>
        </w:rPr>
        <w:t xml:space="preserve"> Characteristics Grid: Cross-Medium Evaluation</w:t>
      </w:r>
    </w:p>
    <w:p w14:paraId="74C1B0E8" w14:textId="600B5346" w:rsidR="00B46671" w:rsidRDefault="00000000">
      <w:pPr>
        <w:pStyle w:val="FirstParagraph"/>
      </w:pPr>
      <w:r>
        <w:rPr>
          <w:rFonts w:cs="Times New Roman"/>
        </w:rPr>
        <w:t xml:space="preserve">The seven </w:t>
      </w:r>
      <w:proofErr w:type="spellStart"/>
      <w:r>
        <w:rPr>
          <w:rFonts w:cs="Times New Roman"/>
        </w:rPr>
        <w:t>ribawi</w:t>
      </w:r>
      <w:proofErr w:type="spellEnd"/>
      <w:r>
        <w:rPr>
          <w:rFonts w:cs="Times New Roman"/>
        </w:rPr>
        <w:t xml:space="preserve"> characteristics were applied systematically to five financial mediums: fiat currency, gold/silver, Bitcoin, physical commodities, and </w:t>
      </w:r>
      <w:hyperlink r:id="rId5" w:history="1">
        <w:r w:rsidR="00B46671" w:rsidRPr="00347808">
          <w:rPr>
            <w:rStyle w:val="Hyperlink"/>
            <w:rFonts w:cs="Times New Roman"/>
          </w:rPr>
          <w:t>GX Coin Protocol</w:t>
        </w:r>
      </w:hyperlink>
      <w:r>
        <w:rPr>
          <w:rFonts w:cs="Times New Roman"/>
        </w:rPr>
        <w:t xml:space="preserve"> (a fixed-supply, productivity-referenced digital currency with no debt-based issuance). The results are </w:t>
      </w:r>
      <w:proofErr w:type="spellStart"/>
      <w:r>
        <w:rPr>
          <w:rFonts w:cs="Times New Roman"/>
        </w:rPr>
        <w:t>summarised</w:t>
      </w:r>
      <w:proofErr w:type="spellEnd"/>
      <w:r>
        <w:rPr>
          <w:rFonts w:cs="Times New Roman"/>
        </w:rPr>
        <w:t xml:space="preserve"> in Table 2.</w:t>
      </w:r>
    </w:p>
    <w:p w14:paraId="45AC9C82" w14:textId="77777777" w:rsidR="00B46671" w:rsidRDefault="00000000">
      <w:pPr>
        <w:pStyle w:val="BodyText"/>
      </w:pPr>
      <w:r>
        <w:rPr>
          <w:rFonts w:cs="Times New Roman"/>
          <w:b/>
          <w:bCs/>
        </w:rPr>
        <w:t>Table 2</w:t>
      </w:r>
    </w:p>
    <w:p w14:paraId="09FCF42E" w14:textId="77777777" w:rsidR="00B46671" w:rsidRDefault="00000000">
      <w:pPr>
        <w:pStyle w:val="BodyText"/>
      </w:pPr>
      <w:proofErr w:type="spellStart"/>
      <w:r>
        <w:rPr>
          <w:rFonts w:cs="Times New Roman"/>
          <w:i/>
          <w:iCs/>
        </w:rPr>
        <w:t>Ribawi</w:t>
      </w:r>
      <w:proofErr w:type="spellEnd"/>
      <w:r>
        <w:rPr>
          <w:rFonts w:cs="Times New Roman"/>
          <w:i/>
          <w:iCs/>
        </w:rPr>
        <w:t xml:space="preserve"> Characteristics Evaluation Across Financial Mediums</w:t>
      </w:r>
    </w:p>
    <w:tbl>
      <w:tblPr>
        <w:tblStyle w:val="Table"/>
        <w:tblW w:w="5000" w:type="pct"/>
        <w:tblLayout w:type="fixed"/>
        <w:tblLook w:val="0020" w:firstRow="1" w:lastRow="0" w:firstColumn="0" w:lastColumn="0" w:noHBand="0" w:noVBand="0"/>
      </w:tblPr>
      <w:tblGrid>
        <w:gridCol w:w="1614"/>
        <w:gridCol w:w="1506"/>
        <w:gridCol w:w="1399"/>
        <w:gridCol w:w="968"/>
        <w:gridCol w:w="2044"/>
        <w:gridCol w:w="1829"/>
      </w:tblGrid>
      <w:tr w:rsidR="00B46671" w14:paraId="3134624F" w14:textId="77777777" w:rsidTr="00B46671">
        <w:trPr>
          <w:cnfStyle w:val="100000000000" w:firstRow="1" w:lastRow="0" w:firstColumn="0" w:lastColumn="0" w:oddVBand="0" w:evenVBand="0" w:oddHBand="0" w:evenHBand="0" w:firstRowFirstColumn="0" w:firstRowLastColumn="0" w:lastRowFirstColumn="0" w:lastRowLastColumn="0"/>
          <w:tblHeader/>
        </w:trPr>
        <w:tc>
          <w:tcPr>
            <w:tcW w:w="1365" w:type="dxa"/>
          </w:tcPr>
          <w:p w14:paraId="48305117" w14:textId="77777777" w:rsidR="00B46671" w:rsidRDefault="00000000">
            <w:pPr>
              <w:pStyle w:val="Compact"/>
              <w:spacing w:before="40" w:after="40" w:line="240" w:lineRule="auto"/>
            </w:pPr>
            <w:r>
              <w:rPr>
                <w:sz w:val="20"/>
              </w:rPr>
              <w:t>Characteristic</w:t>
            </w:r>
          </w:p>
        </w:tc>
        <w:tc>
          <w:tcPr>
            <w:tcW w:w="1274" w:type="dxa"/>
          </w:tcPr>
          <w:p w14:paraId="00A3CB08" w14:textId="77777777" w:rsidR="00B46671" w:rsidRDefault="00000000">
            <w:pPr>
              <w:pStyle w:val="Compact"/>
              <w:spacing w:before="40" w:after="40" w:line="240" w:lineRule="auto"/>
            </w:pPr>
            <w:r>
              <w:rPr>
                <w:sz w:val="20"/>
              </w:rPr>
              <w:t>Fiat Currency</w:t>
            </w:r>
          </w:p>
        </w:tc>
        <w:tc>
          <w:tcPr>
            <w:tcW w:w="1183" w:type="dxa"/>
          </w:tcPr>
          <w:p w14:paraId="26B0A60F" w14:textId="77777777" w:rsidR="00B46671" w:rsidRDefault="00000000">
            <w:pPr>
              <w:pStyle w:val="Compact"/>
              <w:spacing w:before="40" w:after="40" w:line="240" w:lineRule="auto"/>
            </w:pPr>
            <w:r>
              <w:rPr>
                <w:sz w:val="20"/>
              </w:rPr>
              <w:t>Gold/Silver</w:t>
            </w:r>
          </w:p>
        </w:tc>
        <w:tc>
          <w:tcPr>
            <w:tcW w:w="819" w:type="dxa"/>
          </w:tcPr>
          <w:p w14:paraId="61DF511C" w14:textId="77777777" w:rsidR="00B46671" w:rsidRDefault="00000000">
            <w:pPr>
              <w:pStyle w:val="Compact"/>
              <w:spacing w:before="40" w:after="40" w:line="240" w:lineRule="auto"/>
            </w:pPr>
            <w:r>
              <w:rPr>
                <w:sz w:val="20"/>
              </w:rPr>
              <w:t>Bitcoin</w:t>
            </w:r>
          </w:p>
        </w:tc>
        <w:tc>
          <w:tcPr>
            <w:tcW w:w="1729" w:type="dxa"/>
          </w:tcPr>
          <w:p w14:paraId="4F378556" w14:textId="77777777" w:rsidR="00B46671" w:rsidRDefault="00000000">
            <w:pPr>
              <w:pStyle w:val="Compact"/>
              <w:spacing w:before="40" w:after="40" w:line="240" w:lineRule="auto"/>
            </w:pPr>
            <w:r>
              <w:rPr>
                <w:sz w:val="20"/>
              </w:rPr>
              <w:t>Physical Commodity</w:t>
            </w:r>
          </w:p>
        </w:tc>
        <w:tc>
          <w:tcPr>
            <w:tcW w:w="1547" w:type="dxa"/>
          </w:tcPr>
          <w:p w14:paraId="20031474" w14:textId="24133457" w:rsidR="00B46671" w:rsidRDefault="00347808">
            <w:pPr>
              <w:pStyle w:val="Compact"/>
              <w:spacing w:before="40" w:after="40" w:line="240" w:lineRule="auto"/>
            </w:pPr>
            <w:hyperlink r:id="rId6" w:history="1">
              <w:r w:rsidRPr="00347808">
                <w:rPr>
                  <w:rStyle w:val="Hyperlink"/>
                  <w:sz w:val="20"/>
                </w:rPr>
                <w:t>GX Coin Protocol</w:t>
              </w:r>
            </w:hyperlink>
          </w:p>
        </w:tc>
      </w:tr>
      <w:tr w:rsidR="00B46671" w14:paraId="19440E57" w14:textId="77777777">
        <w:tc>
          <w:tcPr>
            <w:tcW w:w="1365" w:type="dxa"/>
          </w:tcPr>
          <w:p w14:paraId="41AC4512" w14:textId="77777777" w:rsidR="00B46671" w:rsidRDefault="00000000">
            <w:pPr>
              <w:pStyle w:val="Compact"/>
              <w:spacing w:before="40" w:after="40" w:line="240" w:lineRule="auto"/>
            </w:pPr>
            <w:proofErr w:type="spellStart"/>
            <w:r>
              <w:rPr>
                <w:sz w:val="20"/>
              </w:rPr>
              <w:t>Mithiliyyah</w:t>
            </w:r>
            <w:proofErr w:type="spellEnd"/>
            <w:r>
              <w:rPr>
                <w:sz w:val="20"/>
              </w:rPr>
              <w:t xml:space="preserve"> (Fungibility)</w:t>
            </w:r>
          </w:p>
        </w:tc>
        <w:tc>
          <w:tcPr>
            <w:tcW w:w="1274" w:type="dxa"/>
          </w:tcPr>
          <w:p w14:paraId="08E28B40" w14:textId="77777777" w:rsidR="00B46671" w:rsidRDefault="00000000">
            <w:pPr>
              <w:pStyle w:val="Compact"/>
              <w:spacing w:before="40" w:after="40" w:line="240" w:lineRule="auto"/>
            </w:pPr>
            <w:r>
              <w:rPr>
                <w:sz w:val="20"/>
              </w:rPr>
              <w:t>Fails: equivalence decays through inflation; 100 units today are not equal to 100 units in one year</w:t>
            </w:r>
          </w:p>
        </w:tc>
        <w:tc>
          <w:tcPr>
            <w:tcW w:w="1183" w:type="dxa"/>
          </w:tcPr>
          <w:p w14:paraId="7604C334" w14:textId="77777777" w:rsidR="00B46671" w:rsidRDefault="00000000">
            <w:pPr>
              <w:pStyle w:val="Compact"/>
              <w:spacing w:before="40" w:after="40" w:line="240" w:lineRule="auto"/>
            </w:pPr>
            <w:r>
              <w:rPr>
                <w:sz w:val="20"/>
              </w:rPr>
              <w:t>Passes</w:t>
            </w:r>
          </w:p>
        </w:tc>
        <w:tc>
          <w:tcPr>
            <w:tcW w:w="819" w:type="dxa"/>
          </w:tcPr>
          <w:p w14:paraId="2FC1A17F" w14:textId="77777777" w:rsidR="00B46671" w:rsidRDefault="00000000">
            <w:pPr>
              <w:pStyle w:val="Compact"/>
              <w:spacing w:before="40" w:after="40" w:line="240" w:lineRule="auto"/>
            </w:pPr>
            <w:r>
              <w:rPr>
                <w:sz w:val="20"/>
              </w:rPr>
              <w:t>Passes</w:t>
            </w:r>
          </w:p>
        </w:tc>
        <w:tc>
          <w:tcPr>
            <w:tcW w:w="1729" w:type="dxa"/>
          </w:tcPr>
          <w:p w14:paraId="325D4580" w14:textId="77777777" w:rsidR="00B46671" w:rsidRDefault="00000000">
            <w:pPr>
              <w:pStyle w:val="Compact"/>
              <w:spacing w:before="40" w:after="40" w:line="240" w:lineRule="auto"/>
            </w:pPr>
            <w:r>
              <w:rPr>
                <w:sz w:val="20"/>
              </w:rPr>
              <w:t>Passes (</w:t>
            </w:r>
            <w:proofErr w:type="spellStart"/>
            <w:r>
              <w:rPr>
                <w:sz w:val="20"/>
              </w:rPr>
              <w:t>standardised</w:t>
            </w:r>
            <w:proofErr w:type="spellEnd"/>
            <w:r>
              <w:rPr>
                <w:sz w:val="20"/>
              </w:rPr>
              <w:t xml:space="preserve"> grades)</w:t>
            </w:r>
          </w:p>
        </w:tc>
        <w:tc>
          <w:tcPr>
            <w:tcW w:w="1547" w:type="dxa"/>
          </w:tcPr>
          <w:p w14:paraId="3F401A77" w14:textId="77777777" w:rsidR="00B46671" w:rsidRDefault="00000000">
            <w:pPr>
              <w:pStyle w:val="Compact"/>
              <w:spacing w:before="40" w:after="40" w:line="240" w:lineRule="auto"/>
            </w:pPr>
            <w:r>
              <w:rPr>
                <w:sz w:val="20"/>
              </w:rPr>
              <w:t>Passes: each unit is equivalent; fixed supply of 1.25 trillion coins prevents debasement</w:t>
            </w:r>
          </w:p>
        </w:tc>
      </w:tr>
      <w:tr w:rsidR="00B46671" w14:paraId="7EB2FCFE" w14:textId="77777777">
        <w:tc>
          <w:tcPr>
            <w:tcW w:w="1365" w:type="dxa"/>
          </w:tcPr>
          <w:p w14:paraId="62E6E18A" w14:textId="77777777" w:rsidR="00B46671" w:rsidRDefault="00000000">
            <w:pPr>
              <w:pStyle w:val="Compact"/>
              <w:spacing w:before="40" w:after="40" w:line="240" w:lineRule="auto"/>
            </w:pPr>
            <w:r>
              <w:rPr>
                <w:sz w:val="20"/>
              </w:rPr>
              <w:t xml:space="preserve">Qimah </w:t>
            </w:r>
            <w:proofErr w:type="spellStart"/>
            <w:r>
              <w:rPr>
                <w:sz w:val="20"/>
              </w:rPr>
              <w:t>Dhatiyyah</w:t>
            </w:r>
            <w:proofErr w:type="spellEnd"/>
            <w:r>
              <w:rPr>
                <w:sz w:val="20"/>
              </w:rPr>
              <w:t xml:space="preserve"> (Intrinsic Value)</w:t>
            </w:r>
          </w:p>
        </w:tc>
        <w:tc>
          <w:tcPr>
            <w:tcW w:w="1274" w:type="dxa"/>
          </w:tcPr>
          <w:p w14:paraId="4E676557" w14:textId="77777777" w:rsidR="00B46671" w:rsidRDefault="00000000">
            <w:pPr>
              <w:pStyle w:val="Compact"/>
              <w:spacing w:before="40" w:after="40" w:line="240" w:lineRule="auto"/>
            </w:pPr>
            <w:r>
              <w:rPr>
                <w:sz w:val="20"/>
              </w:rPr>
              <w:t>Fails: zero utility outside the monetary system; value exists only by institutional declaration</w:t>
            </w:r>
          </w:p>
        </w:tc>
        <w:tc>
          <w:tcPr>
            <w:tcW w:w="1183" w:type="dxa"/>
          </w:tcPr>
          <w:p w14:paraId="6FA79E42" w14:textId="77777777" w:rsidR="00B46671" w:rsidRDefault="00000000">
            <w:pPr>
              <w:pStyle w:val="Compact"/>
              <w:spacing w:before="40" w:after="40" w:line="240" w:lineRule="auto"/>
            </w:pPr>
            <w:r>
              <w:rPr>
                <w:sz w:val="20"/>
              </w:rPr>
              <w:t>Passes (ornamental, industrial)</w:t>
            </w:r>
          </w:p>
        </w:tc>
        <w:tc>
          <w:tcPr>
            <w:tcW w:w="819" w:type="dxa"/>
          </w:tcPr>
          <w:p w14:paraId="0C6F3A26" w14:textId="77777777" w:rsidR="00B46671" w:rsidRDefault="00000000">
            <w:pPr>
              <w:pStyle w:val="Compact"/>
              <w:spacing w:before="40" w:after="40" w:line="240" w:lineRule="auto"/>
            </w:pPr>
            <w:r>
              <w:rPr>
                <w:sz w:val="20"/>
              </w:rPr>
              <w:t>Uncertain: no material utility independent of network</w:t>
            </w:r>
          </w:p>
        </w:tc>
        <w:tc>
          <w:tcPr>
            <w:tcW w:w="1729" w:type="dxa"/>
          </w:tcPr>
          <w:p w14:paraId="22167423" w14:textId="77777777" w:rsidR="00B46671" w:rsidRDefault="00000000">
            <w:pPr>
              <w:pStyle w:val="Compact"/>
              <w:spacing w:before="40" w:after="40" w:line="240" w:lineRule="auto"/>
            </w:pPr>
            <w:r>
              <w:rPr>
                <w:sz w:val="20"/>
              </w:rPr>
              <w:t>Passes</w:t>
            </w:r>
          </w:p>
        </w:tc>
        <w:tc>
          <w:tcPr>
            <w:tcW w:w="1547" w:type="dxa"/>
          </w:tcPr>
          <w:p w14:paraId="52721C42" w14:textId="77777777" w:rsidR="00B46671" w:rsidRDefault="00000000">
            <w:pPr>
              <w:pStyle w:val="Compact"/>
              <w:spacing w:before="40" w:after="40" w:line="240" w:lineRule="auto"/>
            </w:pPr>
            <w:r>
              <w:rPr>
                <w:sz w:val="20"/>
              </w:rPr>
              <w:t>Passes: value derived from productive economic activity within the ecosystem, not from institutional declaration</w:t>
            </w:r>
          </w:p>
        </w:tc>
      </w:tr>
      <w:tr w:rsidR="00B46671" w14:paraId="76BE4CC0" w14:textId="77777777">
        <w:tc>
          <w:tcPr>
            <w:tcW w:w="1365" w:type="dxa"/>
          </w:tcPr>
          <w:p w14:paraId="33A0A77E" w14:textId="77777777" w:rsidR="00B46671" w:rsidRDefault="00000000">
            <w:pPr>
              <w:pStyle w:val="Compact"/>
              <w:spacing w:before="40" w:after="40" w:line="240" w:lineRule="auto"/>
            </w:pPr>
            <w:r>
              <w:rPr>
                <w:sz w:val="20"/>
              </w:rPr>
              <w:t>Baqa’ (Durability of Value)</w:t>
            </w:r>
          </w:p>
        </w:tc>
        <w:tc>
          <w:tcPr>
            <w:tcW w:w="1274" w:type="dxa"/>
          </w:tcPr>
          <w:p w14:paraId="35465322" w14:textId="77777777" w:rsidR="00B46671" w:rsidRDefault="00000000">
            <w:pPr>
              <w:pStyle w:val="Compact"/>
              <w:spacing w:before="40" w:after="40" w:line="240" w:lineRule="auto"/>
            </w:pPr>
            <w:r>
              <w:rPr>
                <w:sz w:val="20"/>
              </w:rPr>
              <w:t>Fails: purchasing power erodes by design through inflation; the dollar has lost 96% since 1913</w:t>
            </w:r>
          </w:p>
        </w:tc>
        <w:tc>
          <w:tcPr>
            <w:tcW w:w="1183" w:type="dxa"/>
          </w:tcPr>
          <w:p w14:paraId="65F00854" w14:textId="77777777" w:rsidR="00B46671" w:rsidRDefault="00000000">
            <w:pPr>
              <w:pStyle w:val="Compact"/>
              <w:spacing w:before="40" w:after="40" w:line="240" w:lineRule="auto"/>
            </w:pPr>
            <w:r>
              <w:rPr>
                <w:sz w:val="20"/>
              </w:rPr>
              <w:t>Passes</w:t>
            </w:r>
          </w:p>
        </w:tc>
        <w:tc>
          <w:tcPr>
            <w:tcW w:w="819" w:type="dxa"/>
          </w:tcPr>
          <w:p w14:paraId="447C7B92" w14:textId="77777777" w:rsidR="00B46671" w:rsidRDefault="00000000">
            <w:pPr>
              <w:pStyle w:val="Compact"/>
              <w:spacing w:before="40" w:after="40" w:line="240" w:lineRule="auto"/>
            </w:pPr>
            <w:r>
              <w:rPr>
                <w:sz w:val="20"/>
              </w:rPr>
              <w:t>Passes (fixed supply) but volatile in fiat-denominated terms</w:t>
            </w:r>
          </w:p>
        </w:tc>
        <w:tc>
          <w:tcPr>
            <w:tcW w:w="1729" w:type="dxa"/>
          </w:tcPr>
          <w:p w14:paraId="769D6FF2" w14:textId="77777777" w:rsidR="00B46671" w:rsidRDefault="00000000">
            <w:pPr>
              <w:pStyle w:val="Compact"/>
              <w:spacing w:before="40" w:after="40" w:line="240" w:lineRule="auto"/>
            </w:pPr>
            <w:r>
              <w:rPr>
                <w:sz w:val="20"/>
              </w:rPr>
              <w:t>Passes (durable commodities)</w:t>
            </w:r>
          </w:p>
        </w:tc>
        <w:tc>
          <w:tcPr>
            <w:tcW w:w="1547" w:type="dxa"/>
          </w:tcPr>
          <w:p w14:paraId="10DC83F0" w14:textId="77777777" w:rsidR="00B46671" w:rsidRDefault="00000000">
            <w:pPr>
              <w:pStyle w:val="Compact"/>
              <w:spacing w:before="40" w:after="40" w:line="240" w:lineRule="auto"/>
            </w:pPr>
            <w:r>
              <w:rPr>
                <w:sz w:val="20"/>
              </w:rPr>
              <w:t>Passes: immutable supply cap prevents monetary debasement; gold-referenced pricing provides stable value anchor</w:t>
            </w:r>
          </w:p>
        </w:tc>
      </w:tr>
      <w:tr w:rsidR="00B46671" w14:paraId="594C5C27" w14:textId="77777777">
        <w:tc>
          <w:tcPr>
            <w:tcW w:w="1365" w:type="dxa"/>
          </w:tcPr>
          <w:p w14:paraId="7D935549" w14:textId="77777777" w:rsidR="00B46671" w:rsidRDefault="00000000">
            <w:pPr>
              <w:pStyle w:val="Compact"/>
              <w:spacing w:before="40" w:after="40" w:line="240" w:lineRule="auto"/>
            </w:pPr>
            <w:proofErr w:type="spellStart"/>
            <w:r>
              <w:rPr>
                <w:sz w:val="20"/>
              </w:rPr>
              <w:t>Rawaj</w:t>
            </w:r>
            <w:proofErr w:type="spellEnd"/>
            <w:r>
              <w:rPr>
                <w:sz w:val="20"/>
              </w:rPr>
              <w:t xml:space="preserve"> (Universal Acceptance)</w:t>
            </w:r>
          </w:p>
        </w:tc>
        <w:tc>
          <w:tcPr>
            <w:tcW w:w="1274" w:type="dxa"/>
          </w:tcPr>
          <w:p w14:paraId="183BD552" w14:textId="77777777" w:rsidR="00B46671" w:rsidRDefault="00000000">
            <w:pPr>
              <w:pStyle w:val="Compact"/>
              <w:spacing w:before="40" w:after="40" w:line="240" w:lineRule="auto"/>
            </w:pPr>
            <w:r>
              <w:rPr>
                <w:sz w:val="20"/>
              </w:rPr>
              <w:t>Fails: acceptance is coerced through legal tender laws, not earned through demonstrated utility</w:t>
            </w:r>
          </w:p>
        </w:tc>
        <w:tc>
          <w:tcPr>
            <w:tcW w:w="1183" w:type="dxa"/>
          </w:tcPr>
          <w:p w14:paraId="4A7371BF" w14:textId="77777777" w:rsidR="00B46671" w:rsidRDefault="00000000">
            <w:pPr>
              <w:pStyle w:val="Compact"/>
              <w:spacing w:before="40" w:after="40" w:line="240" w:lineRule="auto"/>
            </w:pPr>
            <w:r>
              <w:rPr>
                <w:sz w:val="20"/>
              </w:rPr>
              <w:t>Passes (historical)</w:t>
            </w:r>
          </w:p>
        </w:tc>
        <w:tc>
          <w:tcPr>
            <w:tcW w:w="819" w:type="dxa"/>
          </w:tcPr>
          <w:p w14:paraId="49DF86C0" w14:textId="77777777" w:rsidR="00B46671" w:rsidRDefault="00000000">
            <w:pPr>
              <w:pStyle w:val="Compact"/>
              <w:spacing w:before="40" w:after="40" w:line="240" w:lineRule="auto"/>
            </w:pPr>
            <w:r>
              <w:rPr>
                <w:sz w:val="20"/>
              </w:rPr>
              <w:t>Partial: growing but not universally used in daily commerce</w:t>
            </w:r>
          </w:p>
        </w:tc>
        <w:tc>
          <w:tcPr>
            <w:tcW w:w="1729" w:type="dxa"/>
          </w:tcPr>
          <w:p w14:paraId="1F414FD7" w14:textId="77777777" w:rsidR="00B46671" w:rsidRDefault="00000000">
            <w:pPr>
              <w:pStyle w:val="Compact"/>
              <w:spacing w:before="40" w:after="40" w:line="240" w:lineRule="auto"/>
            </w:pPr>
            <w:r>
              <w:rPr>
                <w:sz w:val="20"/>
              </w:rPr>
              <w:t>Passes (global commodities)</w:t>
            </w:r>
          </w:p>
        </w:tc>
        <w:tc>
          <w:tcPr>
            <w:tcW w:w="1547" w:type="dxa"/>
          </w:tcPr>
          <w:p w14:paraId="27A0A7A6" w14:textId="77777777" w:rsidR="00B46671" w:rsidRDefault="00000000">
            <w:pPr>
              <w:pStyle w:val="Compact"/>
              <w:spacing w:before="40" w:after="40" w:line="240" w:lineRule="auto"/>
            </w:pPr>
            <w:r>
              <w:rPr>
                <w:sz w:val="20"/>
              </w:rPr>
              <w:t>Partial: currently limited to ecosystem participants; acceptance growing through demonstrated utility, not coercion</w:t>
            </w:r>
          </w:p>
        </w:tc>
      </w:tr>
      <w:tr w:rsidR="00B46671" w14:paraId="1091D5AC" w14:textId="77777777">
        <w:tc>
          <w:tcPr>
            <w:tcW w:w="1365" w:type="dxa"/>
          </w:tcPr>
          <w:p w14:paraId="61781DA1" w14:textId="77777777" w:rsidR="00B46671" w:rsidRDefault="00000000">
            <w:pPr>
              <w:pStyle w:val="Compact"/>
              <w:spacing w:before="40" w:after="40" w:line="240" w:lineRule="auto"/>
            </w:pPr>
            <w:r>
              <w:rPr>
                <w:sz w:val="20"/>
              </w:rPr>
              <w:t xml:space="preserve">Sifah </w:t>
            </w:r>
            <w:proofErr w:type="spellStart"/>
            <w:r>
              <w:rPr>
                <w:sz w:val="20"/>
              </w:rPr>
              <w:t>Ma’lumah</w:t>
            </w:r>
            <w:proofErr w:type="spellEnd"/>
            <w:r>
              <w:rPr>
                <w:sz w:val="20"/>
              </w:rPr>
              <w:t xml:space="preserve"> (Knowable Quality)</w:t>
            </w:r>
          </w:p>
        </w:tc>
        <w:tc>
          <w:tcPr>
            <w:tcW w:w="1274" w:type="dxa"/>
          </w:tcPr>
          <w:p w14:paraId="5815A50B" w14:textId="77777777" w:rsidR="00B46671" w:rsidRDefault="00000000">
            <w:pPr>
              <w:pStyle w:val="Compact"/>
              <w:spacing w:before="40" w:after="40" w:line="240" w:lineRule="auto"/>
            </w:pPr>
            <w:r>
              <w:rPr>
                <w:sz w:val="20"/>
              </w:rPr>
              <w:t xml:space="preserve">Fails: future purchasing power is unknowable and </w:t>
            </w:r>
            <w:r>
              <w:rPr>
                <w:sz w:val="20"/>
              </w:rPr>
              <w:lastRenderedPageBreak/>
              <w:t>dependent on policy decisions</w:t>
            </w:r>
          </w:p>
        </w:tc>
        <w:tc>
          <w:tcPr>
            <w:tcW w:w="1183" w:type="dxa"/>
          </w:tcPr>
          <w:p w14:paraId="516984FD" w14:textId="77777777" w:rsidR="00B46671" w:rsidRDefault="00000000">
            <w:pPr>
              <w:pStyle w:val="Compact"/>
              <w:spacing w:before="40" w:after="40" w:line="240" w:lineRule="auto"/>
            </w:pPr>
            <w:r>
              <w:rPr>
                <w:sz w:val="20"/>
              </w:rPr>
              <w:lastRenderedPageBreak/>
              <w:t>Passes</w:t>
            </w:r>
          </w:p>
        </w:tc>
        <w:tc>
          <w:tcPr>
            <w:tcW w:w="819" w:type="dxa"/>
          </w:tcPr>
          <w:p w14:paraId="581FD0A0" w14:textId="77777777" w:rsidR="00B46671" w:rsidRDefault="00000000">
            <w:pPr>
              <w:pStyle w:val="Compact"/>
              <w:spacing w:before="40" w:after="40" w:line="240" w:lineRule="auto"/>
            </w:pPr>
            <w:r>
              <w:rPr>
                <w:sz w:val="20"/>
              </w:rPr>
              <w:t xml:space="preserve">Passes (code is transparent and </w:t>
            </w:r>
            <w:r>
              <w:rPr>
                <w:sz w:val="20"/>
              </w:rPr>
              <w:lastRenderedPageBreak/>
              <w:t>auditable)</w:t>
            </w:r>
          </w:p>
        </w:tc>
        <w:tc>
          <w:tcPr>
            <w:tcW w:w="1729" w:type="dxa"/>
          </w:tcPr>
          <w:p w14:paraId="5793677C" w14:textId="77777777" w:rsidR="00B46671" w:rsidRDefault="00000000">
            <w:pPr>
              <w:pStyle w:val="Compact"/>
              <w:spacing w:before="40" w:after="40" w:line="240" w:lineRule="auto"/>
            </w:pPr>
            <w:r>
              <w:rPr>
                <w:sz w:val="20"/>
              </w:rPr>
              <w:lastRenderedPageBreak/>
              <w:t>Passes (</w:t>
            </w:r>
            <w:proofErr w:type="spellStart"/>
            <w:r>
              <w:rPr>
                <w:sz w:val="20"/>
              </w:rPr>
              <w:t>standardised</w:t>
            </w:r>
            <w:proofErr w:type="spellEnd"/>
            <w:r>
              <w:rPr>
                <w:sz w:val="20"/>
              </w:rPr>
              <w:t xml:space="preserve"> grades)</w:t>
            </w:r>
          </w:p>
        </w:tc>
        <w:tc>
          <w:tcPr>
            <w:tcW w:w="1547" w:type="dxa"/>
          </w:tcPr>
          <w:p w14:paraId="4CF5E653" w14:textId="77777777" w:rsidR="00B46671" w:rsidRDefault="00000000">
            <w:pPr>
              <w:pStyle w:val="Compact"/>
              <w:spacing w:before="40" w:after="40" w:line="240" w:lineRule="auto"/>
            </w:pPr>
            <w:r>
              <w:rPr>
                <w:sz w:val="20"/>
              </w:rPr>
              <w:t xml:space="preserve">Passes: all protocol parameters are transparent and algorithmically </w:t>
            </w:r>
            <w:r>
              <w:rPr>
                <w:sz w:val="20"/>
              </w:rPr>
              <w:lastRenderedPageBreak/>
              <w:t>defined; purchasing power referenced to gold</w:t>
            </w:r>
          </w:p>
        </w:tc>
      </w:tr>
      <w:tr w:rsidR="00B46671" w14:paraId="4DA856A0" w14:textId="77777777">
        <w:tc>
          <w:tcPr>
            <w:tcW w:w="1365" w:type="dxa"/>
          </w:tcPr>
          <w:p w14:paraId="45BEE0F4" w14:textId="77777777" w:rsidR="00B46671" w:rsidRDefault="00000000">
            <w:pPr>
              <w:pStyle w:val="Compact"/>
              <w:spacing w:before="40" w:after="40" w:line="240" w:lineRule="auto"/>
            </w:pPr>
            <w:r>
              <w:rPr>
                <w:sz w:val="20"/>
              </w:rPr>
              <w:lastRenderedPageBreak/>
              <w:t>Kayl / Wazn (Measurability)</w:t>
            </w:r>
          </w:p>
        </w:tc>
        <w:tc>
          <w:tcPr>
            <w:tcW w:w="1274" w:type="dxa"/>
          </w:tcPr>
          <w:p w14:paraId="46C8D6B1" w14:textId="77777777" w:rsidR="00B46671" w:rsidRDefault="00000000">
            <w:pPr>
              <w:pStyle w:val="Compact"/>
              <w:spacing w:before="40" w:after="40" w:line="240" w:lineRule="auto"/>
            </w:pPr>
            <w:r>
              <w:rPr>
                <w:sz w:val="20"/>
              </w:rPr>
              <w:t>Partial: nominal denomination only; real value shifts continuously</w:t>
            </w:r>
          </w:p>
        </w:tc>
        <w:tc>
          <w:tcPr>
            <w:tcW w:w="1183" w:type="dxa"/>
          </w:tcPr>
          <w:p w14:paraId="21E12D47" w14:textId="77777777" w:rsidR="00B46671" w:rsidRDefault="00000000">
            <w:pPr>
              <w:pStyle w:val="Compact"/>
              <w:spacing w:before="40" w:after="40" w:line="240" w:lineRule="auto"/>
            </w:pPr>
            <w:r>
              <w:rPr>
                <w:sz w:val="20"/>
              </w:rPr>
              <w:t>Passes</w:t>
            </w:r>
          </w:p>
        </w:tc>
        <w:tc>
          <w:tcPr>
            <w:tcW w:w="819" w:type="dxa"/>
          </w:tcPr>
          <w:p w14:paraId="5692C2A0" w14:textId="77777777" w:rsidR="00B46671" w:rsidRDefault="00000000">
            <w:pPr>
              <w:pStyle w:val="Compact"/>
              <w:spacing w:before="40" w:after="40" w:line="240" w:lineRule="auto"/>
            </w:pPr>
            <w:r>
              <w:rPr>
                <w:sz w:val="20"/>
              </w:rPr>
              <w:t>Passes (divisible to 8 decimal places)</w:t>
            </w:r>
          </w:p>
        </w:tc>
        <w:tc>
          <w:tcPr>
            <w:tcW w:w="1729" w:type="dxa"/>
          </w:tcPr>
          <w:p w14:paraId="5741590D" w14:textId="77777777" w:rsidR="00B46671" w:rsidRDefault="00000000">
            <w:pPr>
              <w:pStyle w:val="Compact"/>
              <w:spacing w:before="40" w:after="40" w:line="240" w:lineRule="auto"/>
            </w:pPr>
            <w:r>
              <w:rPr>
                <w:sz w:val="20"/>
              </w:rPr>
              <w:t>Passes</w:t>
            </w:r>
          </w:p>
        </w:tc>
        <w:tc>
          <w:tcPr>
            <w:tcW w:w="1547" w:type="dxa"/>
          </w:tcPr>
          <w:p w14:paraId="01023B44" w14:textId="77777777" w:rsidR="00B46671" w:rsidRDefault="00000000">
            <w:pPr>
              <w:pStyle w:val="Compact"/>
              <w:spacing w:before="40" w:after="40" w:line="240" w:lineRule="auto"/>
            </w:pPr>
            <w:r>
              <w:rPr>
                <w:sz w:val="20"/>
              </w:rPr>
              <w:t>Passes: precisely divisible in digital units; denominated against a universal measure (gold grams)</w:t>
            </w:r>
          </w:p>
        </w:tc>
      </w:tr>
      <w:tr w:rsidR="00B46671" w14:paraId="61594153" w14:textId="77777777">
        <w:tc>
          <w:tcPr>
            <w:tcW w:w="1365" w:type="dxa"/>
          </w:tcPr>
          <w:p w14:paraId="4E10176F" w14:textId="77777777" w:rsidR="00B46671" w:rsidRDefault="00000000">
            <w:pPr>
              <w:pStyle w:val="Compact"/>
              <w:spacing w:before="40" w:after="40" w:line="240" w:lineRule="auto"/>
            </w:pPr>
            <w:r>
              <w:rPr>
                <w:sz w:val="20"/>
              </w:rPr>
              <w:t>Hajah ’Ammah (Essential Utility)</w:t>
            </w:r>
          </w:p>
        </w:tc>
        <w:tc>
          <w:tcPr>
            <w:tcW w:w="1274" w:type="dxa"/>
          </w:tcPr>
          <w:p w14:paraId="5A5FE46D" w14:textId="77777777" w:rsidR="00B46671" w:rsidRDefault="00000000">
            <w:pPr>
              <w:pStyle w:val="Compact"/>
              <w:spacing w:before="40" w:after="40" w:line="240" w:lineRule="auto"/>
            </w:pPr>
            <w:r>
              <w:rPr>
                <w:sz w:val="20"/>
              </w:rPr>
              <w:t>Fails: no utility outside the monetary system</w:t>
            </w:r>
          </w:p>
        </w:tc>
        <w:tc>
          <w:tcPr>
            <w:tcW w:w="1183" w:type="dxa"/>
          </w:tcPr>
          <w:p w14:paraId="2BCB010A" w14:textId="77777777" w:rsidR="00B46671" w:rsidRDefault="00000000">
            <w:pPr>
              <w:pStyle w:val="Compact"/>
              <w:spacing w:before="40" w:after="40" w:line="240" w:lineRule="auto"/>
            </w:pPr>
            <w:r>
              <w:rPr>
                <w:sz w:val="20"/>
              </w:rPr>
              <w:t>Passes</w:t>
            </w:r>
          </w:p>
        </w:tc>
        <w:tc>
          <w:tcPr>
            <w:tcW w:w="819" w:type="dxa"/>
          </w:tcPr>
          <w:p w14:paraId="25F3B580" w14:textId="77777777" w:rsidR="00B46671" w:rsidRDefault="00000000">
            <w:pPr>
              <w:pStyle w:val="Compact"/>
              <w:spacing w:before="40" w:after="40" w:line="240" w:lineRule="auto"/>
            </w:pPr>
            <w:r>
              <w:rPr>
                <w:sz w:val="20"/>
              </w:rPr>
              <w:t>Uncertain: debate ongoing regarding material utility</w:t>
            </w:r>
          </w:p>
        </w:tc>
        <w:tc>
          <w:tcPr>
            <w:tcW w:w="1729" w:type="dxa"/>
          </w:tcPr>
          <w:p w14:paraId="1186B350" w14:textId="77777777" w:rsidR="00B46671" w:rsidRDefault="00000000">
            <w:pPr>
              <w:pStyle w:val="Compact"/>
              <w:spacing w:before="40" w:after="40" w:line="240" w:lineRule="auto"/>
            </w:pPr>
            <w:r>
              <w:rPr>
                <w:sz w:val="20"/>
              </w:rPr>
              <w:t>Passes (food, industrial use)</w:t>
            </w:r>
          </w:p>
        </w:tc>
        <w:tc>
          <w:tcPr>
            <w:tcW w:w="1547" w:type="dxa"/>
          </w:tcPr>
          <w:p w14:paraId="7799C64C" w14:textId="77777777" w:rsidR="00B46671" w:rsidRDefault="00000000">
            <w:pPr>
              <w:pStyle w:val="Compact"/>
              <w:spacing w:before="40" w:after="40" w:line="240" w:lineRule="auto"/>
            </w:pPr>
            <w:r>
              <w:rPr>
                <w:sz w:val="20"/>
              </w:rPr>
              <w:t>Passes: designed as a medium of exchange within a productive economy; not a speculative asset</w:t>
            </w:r>
          </w:p>
        </w:tc>
      </w:tr>
      <w:tr w:rsidR="00B46671" w14:paraId="1822186A" w14:textId="77777777">
        <w:tc>
          <w:tcPr>
            <w:tcW w:w="1365" w:type="dxa"/>
          </w:tcPr>
          <w:p w14:paraId="382C06C3" w14:textId="77777777" w:rsidR="00B46671" w:rsidRDefault="00000000">
            <w:pPr>
              <w:pStyle w:val="Compact"/>
              <w:spacing w:before="40" w:after="40" w:line="240" w:lineRule="auto"/>
            </w:pPr>
            <w:r>
              <w:rPr>
                <w:b/>
                <w:bCs/>
                <w:sz w:val="20"/>
              </w:rPr>
              <w:t>Score</w:t>
            </w:r>
          </w:p>
        </w:tc>
        <w:tc>
          <w:tcPr>
            <w:tcW w:w="1274" w:type="dxa"/>
          </w:tcPr>
          <w:p w14:paraId="0C0C391D" w14:textId="77777777" w:rsidR="00B46671" w:rsidRDefault="00000000">
            <w:pPr>
              <w:pStyle w:val="Compact"/>
              <w:spacing w:before="40" w:after="40" w:line="240" w:lineRule="auto"/>
            </w:pPr>
            <w:r>
              <w:rPr>
                <w:b/>
                <w:bCs/>
                <w:sz w:val="20"/>
              </w:rPr>
              <w:t xml:space="preserve">0 pass, 1 partial, 6 </w:t>
            </w:r>
            <w:proofErr w:type="gramStart"/>
            <w:r>
              <w:rPr>
                <w:b/>
                <w:bCs/>
                <w:sz w:val="20"/>
              </w:rPr>
              <w:t>fail</w:t>
            </w:r>
            <w:proofErr w:type="gramEnd"/>
          </w:p>
        </w:tc>
        <w:tc>
          <w:tcPr>
            <w:tcW w:w="1183" w:type="dxa"/>
          </w:tcPr>
          <w:p w14:paraId="4BF7D1F2" w14:textId="77777777" w:rsidR="00B46671" w:rsidRDefault="00000000">
            <w:pPr>
              <w:pStyle w:val="Compact"/>
              <w:spacing w:before="40" w:after="40" w:line="240" w:lineRule="auto"/>
            </w:pPr>
            <w:r>
              <w:rPr>
                <w:b/>
                <w:bCs/>
                <w:sz w:val="20"/>
              </w:rPr>
              <w:t xml:space="preserve">7 </w:t>
            </w:r>
            <w:proofErr w:type="gramStart"/>
            <w:r>
              <w:rPr>
                <w:b/>
                <w:bCs/>
                <w:sz w:val="20"/>
              </w:rPr>
              <w:t>pass</w:t>
            </w:r>
            <w:proofErr w:type="gramEnd"/>
          </w:p>
        </w:tc>
        <w:tc>
          <w:tcPr>
            <w:tcW w:w="819" w:type="dxa"/>
          </w:tcPr>
          <w:p w14:paraId="7D3E0488" w14:textId="77777777" w:rsidR="00B46671" w:rsidRDefault="00000000">
            <w:pPr>
              <w:pStyle w:val="Compact"/>
              <w:spacing w:before="40" w:after="40" w:line="240" w:lineRule="auto"/>
            </w:pPr>
            <w:r>
              <w:rPr>
                <w:b/>
                <w:bCs/>
                <w:sz w:val="20"/>
              </w:rPr>
              <w:t>2 pass, 2 partial, 3 fail</w:t>
            </w:r>
          </w:p>
        </w:tc>
        <w:tc>
          <w:tcPr>
            <w:tcW w:w="1729" w:type="dxa"/>
          </w:tcPr>
          <w:p w14:paraId="4F40CA85" w14:textId="77777777" w:rsidR="00B46671" w:rsidRDefault="00000000">
            <w:pPr>
              <w:pStyle w:val="Compact"/>
              <w:spacing w:before="40" w:after="40" w:line="240" w:lineRule="auto"/>
            </w:pPr>
            <w:r>
              <w:rPr>
                <w:b/>
                <w:bCs/>
                <w:sz w:val="20"/>
              </w:rPr>
              <w:t xml:space="preserve">7 </w:t>
            </w:r>
            <w:proofErr w:type="gramStart"/>
            <w:r>
              <w:rPr>
                <w:b/>
                <w:bCs/>
                <w:sz w:val="20"/>
              </w:rPr>
              <w:t>pass</w:t>
            </w:r>
            <w:proofErr w:type="gramEnd"/>
          </w:p>
        </w:tc>
        <w:tc>
          <w:tcPr>
            <w:tcW w:w="1547" w:type="dxa"/>
          </w:tcPr>
          <w:p w14:paraId="03A62690" w14:textId="77777777" w:rsidR="00B46671" w:rsidRDefault="00000000">
            <w:pPr>
              <w:pStyle w:val="Compact"/>
              <w:spacing w:before="40" w:after="40" w:line="240" w:lineRule="auto"/>
            </w:pPr>
            <w:r>
              <w:rPr>
                <w:b/>
                <w:bCs/>
                <w:sz w:val="20"/>
              </w:rPr>
              <w:t>6 pass, 1 partial, 0 fail</w:t>
            </w:r>
          </w:p>
        </w:tc>
      </w:tr>
    </w:tbl>
    <w:p w14:paraId="6F0F5387" w14:textId="4CA1A4E1" w:rsidR="00B46671" w:rsidRDefault="00000000">
      <w:pPr>
        <w:pStyle w:val="BodyText"/>
      </w:pPr>
      <w:r>
        <w:rPr>
          <w:rFonts w:cs="Times New Roman"/>
        </w:rPr>
        <w:t xml:space="preserve">The results reveal a significant asymmetry. Gold, silver, and physical commodities, the items identified in the Hadith as </w:t>
      </w:r>
      <w:proofErr w:type="spellStart"/>
      <w:r>
        <w:rPr>
          <w:rFonts w:cs="Times New Roman"/>
        </w:rPr>
        <w:t>ribawi</w:t>
      </w:r>
      <w:proofErr w:type="spellEnd"/>
      <w:r>
        <w:rPr>
          <w:rFonts w:cs="Times New Roman"/>
        </w:rPr>
        <w:t xml:space="preserve">, satisfy all seven characteristics. </w:t>
      </w:r>
      <w:hyperlink r:id="rId7" w:history="1">
        <w:r w:rsidR="00B46671" w:rsidRPr="00347808">
          <w:rPr>
            <w:rStyle w:val="Hyperlink"/>
            <w:rFonts w:cs="Times New Roman"/>
          </w:rPr>
          <w:t>GX Coin Protocol</w:t>
        </w:r>
      </w:hyperlink>
      <w:r>
        <w:rPr>
          <w:rFonts w:cs="Times New Roman"/>
        </w:rPr>
        <w:t xml:space="preserve"> satisfies six of seven, with universal acceptance as a temporal limitation rather than a structural failure. Fiat currency, which the majority scholarly position treats as equivalent to gold and silver for </w:t>
      </w:r>
      <w:proofErr w:type="spellStart"/>
      <w:r>
        <w:rPr>
          <w:rFonts w:cs="Times New Roman"/>
        </w:rPr>
        <w:t>ribawi</w:t>
      </w:r>
      <w:proofErr w:type="spellEnd"/>
      <w:r>
        <w:rPr>
          <w:rFonts w:cs="Times New Roman"/>
        </w:rPr>
        <w:t xml:space="preserve"> purposes, fails all seven. Bitcoin occupies an intermediate position, passing on fungibility and measurability but failing or remaining uncertain on intrinsic value and essential utility.</w:t>
      </w:r>
    </w:p>
    <w:p w14:paraId="3A0444A6" w14:textId="77777777" w:rsidR="00B46671" w:rsidRDefault="00000000">
      <w:pPr>
        <w:pStyle w:val="BodyText"/>
      </w:pPr>
      <w:r>
        <w:rPr>
          <w:rFonts w:cs="Times New Roman"/>
        </w:rPr>
        <w:t xml:space="preserve">This asymmetry does not prove that fiat currency is not subject to </w:t>
      </w:r>
      <w:proofErr w:type="spellStart"/>
      <w:r>
        <w:rPr>
          <w:rFonts w:cs="Times New Roman"/>
        </w:rPr>
        <w:t>ribawi</w:t>
      </w:r>
      <w:proofErr w:type="spellEnd"/>
      <w:r>
        <w:rPr>
          <w:rFonts w:cs="Times New Roman"/>
        </w:rPr>
        <w:t xml:space="preserve"> rules. It demonstrates that the question deserves explicit engagement rather than assumption. It also suggests that digital currency architectures designed around fixed supply, non-debt issuance, and productivity linkage can satisfy the </w:t>
      </w:r>
      <w:proofErr w:type="spellStart"/>
      <w:r>
        <w:rPr>
          <w:rFonts w:cs="Times New Roman"/>
        </w:rPr>
        <w:t>ribawi</w:t>
      </w:r>
      <w:proofErr w:type="spellEnd"/>
      <w:r>
        <w:rPr>
          <w:rFonts w:cs="Times New Roman"/>
        </w:rPr>
        <w:t xml:space="preserve"> characteristics that fiat currency structurally cannot.</w:t>
      </w:r>
    </w:p>
    <w:p w14:paraId="50CA6FA4" w14:textId="77777777" w:rsidR="00B46671" w:rsidRDefault="00000000">
      <w:pPr>
        <w:pStyle w:val="Heading3"/>
      </w:pPr>
      <w:bookmarkStart w:id="25" w:name="Xa9f1b565fa128cbf06334c5deb9d6c4125ce85e"/>
      <w:bookmarkEnd w:id="24"/>
      <w:r>
        <w:rPr>
          <w:rFonts w:cs="Times New Roman"/>
        </w:rPr>
        <w:t>4.2 Diagnostic Output: Representative Financial Products</w:t>
      </w:r>
    </w:p>
    <w:p w14:paraId="0129D088" w14:textId="77777777" w:rsidR="00B46671" w:rsidRDefault="00000000">
      <w:pPr>
        <w:pStyle w:val="FirstParagraph"/>
      </w:pPr>
      <w:r>
        <w:rPr>
          <w:rFonts w:cs="Times New Roman"/>
        </w:rPr>
        <w:t>The diagnostic framework was applied to five representative financial products to demonstrate its analytical output.</w:t>
      </w:r>
    </w:p>
    <w:p w14:paraId="3C319EBD" w14:textId="77777777" w:rsidR="00B46671" w:rsidRDefault="00000000">
      <w:pPr>
        <w:pStyle w:val="BodyText"/>
      </w:pPr>
      <w:r>
        <w:rPr>
          <w:rFonts w:cs="Times New Roman"/>
          <w:b/>
          <w:bCs/>
        </w:rPr>
        <w:t>Product 1: Conventional fixed-rate mortgage.</w:t>
      </w:r>
      <w:r>
        <w:rPr>
          <w:rFonts w:cs="Times New Roman"/>
        </w:rPr>
        <w:t xml:space="preserve"> The diagnostic identifies core Riba (stipulated excess above the principal), a growing Dayn (the outstanding obligation increases through compounding interest over the loan term), and a Maqasid concern regarding inescapable debt. The strip test is not required, as the </w:t>
      </w:r>
      <w:proofErr w:type="spellStart"/>
      <w:r>
        <w:rPr>
          <w:rFonts w:cs="Times New Roman"/>
        </w:rPr>
        <w:t>ribawi</w:t>
      </w:r>
      <w:proofErr w:type="spellEnd"/>
      <w:r>
        <w:rPr>
          <w:rFonts w:cs="Times New Roman"/>
        </w:rPr>
        <w:t xml:space="preserve"> structure is explicit.</w:t>
      </w:r>
    </w:p>
    <w:p w14:paraId="56A38E61" w14:textId="77777777" w:rsidR="00B46671" w:rsidRDefault="00000000">
      <w:pPr>
        <w:pStyle w:val="BodyText"/>
      </w:pPr>
      <w:r>
        <w:rPr>
          <w:rFonts w:cs="Times New Roman"/>
          <w:b/>
          <w:bCs/>
        </w:rPr>
        <w:lastRenderedPageBreak/>
        <w:t xml:space="preserve">Product 2: </w:t>
      </w:r>
      <w:proofErr w:type="spellStart"/>
      <w:r>
        <w:rPr>
          <w:rFonts w:cs="Times New Roman"/>
          <w:b/>
          <w:bCs/>
        </w:rPr>
        <w:t>Murabahah</w:t>
      </w:r>
      <w:proofErr w:type="spellEnd"/>
      <w:r>
        <w:rPr>
          <w:rFonts w:cs="Times New Roman"/>
          <w:b/>
          <w:bCs/>
        </w:rPr>
        <w:t xml:space="preserve"> home financing (commodity-based, fiat-denominated).</w:t>
      </w:r>
      <w:r>
        <w:rPr>
          <w:rFonts w:cs="Times New Roman"/>
        </w:rPr>
        <w:t xml:space="preserve"> The diagnostic identifies the product as formally structured as a sale (Bay’) with a disclosed profit margin. However, the strip test raises a Hilah concern: when the commodity transfer is nominal (the financier never bears genuine commercial risk of ownership), removing the commodity layer reveals the same economic structure as a conventional loan with a fixed return. The diagnostic does not declare the product impermissible; it flags the structural concern and cites Ibn Qayyim’s framework for the user’s consideration.</w:t>
      </w:r>
    </w:p>
    <w:p w14:paraId="5B99FCBF" w14:textId="77777777" w:rsidR="00B46671" w:rsidRDefault="00000000">
      <w:pPr>
        <w:pStyle w:val="BodyText"/>
      </w:pPr>
      <w:r>
        <w:rPr>
          <w:rFonts w:cs="Times New Roman"/>
          <w:b/>
          <w:bCs/>
        </w:rPr>
        <w:t xml:space="preserve">Product 3: </w:t>
      </w:r>
      <w:proofErr w:type="spellStart"/>
      <w:r>
        <w:rPr>
          <w:rFonts w:cs="Times New Roman"/>
          <w:b/>
          <w:bCs/>
        </w:rPr>
        <w:t>Musharakah</w:t>
      </w:r>
      <w:proofErr w:type="spellEnd"/>
      <w:r>
        <w:rPr>
          <w:rFonts w:cs="Times New Roman"/>
          <w:b/>
          <w:bCs/>
        </w:rPr>
        <w:t xml:space="preserve"> </w:t>
      </w:r>
      <w:proofErr w:type="spellStart"/>
      <w:r>
        <w:rPr>
          <w:rFonts w:cs="Times New Roman"/>
          <w:b/>
          <w:bCs/>
        </w:rPr>
        <w:t>Mutanaqisah</w:t>
      </w:r>
      <w:proofErr w:type="spellEnd"/>
      <w:r>
        <w:rPr>
          <w:rFonts w:cs="Times New Roman"/>
          <w:b/>
          <w:bCs/>
        </w:rPr>
        <w:t xml:space="preserve"> (diminishing partnership).</w:t>
      </w:r>
      <w:r>
        <w:rPr>
          <w:rFonts w:cs="Times New Roman"/>
        </w:rPr>
        <w:t xml:space="preserve"> Under the classical track, the diagnostic identifies genuine shared ownership, genuine risk exposure (both parties bear potential loss), and a declining Dayn that does not grow through time. The arrangement passes the strip test: removing the property reveals a genuine partnership, not a disguised loan. On the fiat track, the arrangement also passes the structural tests, with an informational finding noting the open scholarly question regarding the fiat medium.</w:t>
      </w:r>
    </w:p>
    <w:p w14:paraId="3D821F9A" w14:textId="77777777" w:rsidR="00B46671" w:rsidRDefault="00000000">
      <w:pPr>
        <w:pStyle w:val="BodyText"/>
      </w:pPr>
      <w:r>
        <w:rPr>
          <w:rFonts w:cs="Times New Roman"/>
          <w:b/>
          <w:bCs/>
        </w:rPr>
        <w:t>Product 4: Bitcoin spot purchase.</w:t>
      </w:r>
      <w:r>
        <w:rPr>
          <w:rFonts w:cs="Times New Roman"/>
        </w:rPr>
        <w:t xml:space="preserve"> No lending is involved; therefore, no Riba is identified. The diagnostic flags a </w:t>
      </w:r>
      <w:proofErr w:type="spellStart"/>
      <w:r>
        <w:rPr>
          <w:rFonts w:cs="Times New Roman"/>
        </w:rPr>
        <w:t>Maysir</w:t>
      </w:r>
      <w:proofErr w:type="spellEnd"/>
      <w:r>
        <w:rPr>
          <w:rFonts w:cs="Times New Roman"/>
        </w:rPr>
        <w:t xml:space="preserve"> (speculative gambling) concern if the purchase is for short-term price speculation rather than genuine utility or long-term holding. The </w:t>
      </w:r>
      <w:proofErr w:type="spellStart"/>
      <w:r>
        <w:rPr>
          <w:rFonts w:cs="Times New Roman"/>
        </w:rPr>
        <w:t>ribawi</w:t>
      </w:r>
      <w:proofErr w:type="spellEnd"/>
      <w:r>
        <w:rPr>
          <w:rFonts w:cs="Times New Roman"/>
        </w:rPr>
        <w:t xml:space="preserve"> characteristics grid is displayed, showing Bitcoin’s mixed profile: it passes on fungibility, durability, knowable quality, and measurability, but remains uncertain on intrinsic value and essential utility.</w:t>
      </w:r>
    </w:p>
    <w:p w14:paraId="44032638" w14:textId="77777777" w:rsidR="00B46671" w:rsidRDefault="00000000">
      <w:pPr>
        <w:pStyle w:val="BodyText"/>
      </w:pPr>
      <w:r>
        <w:rPr>
          <w:rFonts w:cs="Times New Roman"/>
          <w:b/>
          <w:bCs/>
        </w:rPr>
        <w:t xml:space="preserve">Product 5: </w:t>
      </w:r>
      <w:proofErr w:type="spellStart"/>
      <w:r>
        <w:rPr>
          <w:rFonts w:cs="Times New Roman"/>
          <w:b/>
          <w:bCs/>
        </w:rPr>
        <w:t>Organised</w:t>
      </w:r>
      <w:proofErr w:type="spellEnd"/>
      <w:r>
        <w:rPr>
          <w:rFonts w:cs="Times New Roman"/>
          <w:b/>
          <w:bCs/>
        </w:rPr>
        <w:t xml:space="preserve"> </w:t>
      </w:r>
      <w:proofErr w:type="spellStart"/>
      <w:r>
        <w:rPr>
          <w:rFonts w:cs="Times New Roman"/>
          <w:b/>
          <w:bCs/>
        </w:rPr>
        <w:t>Tawarruq</w:t>
      </w:r>
      <w:proofErr w:type="spellEnd"/>
      <w:r>
        <w:rPr>
          <w:rFonts w:cs="Times New Roman"/>
          <w:b/>
          <w:bCs/>
        </w:rPr>
        <w:t xml:space="preserve"> (commodity </w:t>
      </w:r>
      <w:proofErr w:type="spellStart"/>
      <w:r>
        <w:rPr>
          <w:rFonts w:cs="Times New Roman"/>
          <w:b/>
          <w:bCs/>
        </w:rPr>
        <w:t>Murabahah</w:t>
      </w:r>
      <w:proofErr w:type="spellEnd"/>
      <w:r>
        <w:rPr>
          <w:rFonts w:cs="Times New Roman"/>
          <w:b/>
          <w:bCs/>
        </w:rPr>
        <w:t xml:space="preserve"> for cash).</w:t>
      </w:r>
      <w:r>
        <w:rPr>
          <w:rFonts w:cs="Times New Roman"/>
        </w:rPr>
        <w:t xml:space="preserve"> The strip test identifies the arrangement as a Hilah: the commodity exists in form, but the substance is a cash loan with a fixed return. The diagnostic cites the Islamic Fiqh Academy Resolution 179 (2009) and Imam Ahmad ibn Hanbal’s classification of </w:t>
      </w:r>
      <w:proofErr w:type="spellStart"/>
      <w:r>
        <w:rPr>
          <w:rFonts w:cs="Times New Roman"/>
        </w:rPr>
        <w:t>Tawarruq</w:t>
      </w:r>
      <w:proofErr w:type="spellEnd"/>
      <w:r>
        <w:rPr>
          <w:rFonts w:cs="Times New Roman"/>
        </w:rPr>
        <w:t xml:space="preserve"> as a stratagem. This finding is consistent across both analytical tracks.</w:t>
      </w:r>
    </w:p>
    <w:p w14:paraId="47DE12ED" w14:textId="77777777" w:rsidR="00B46671" w:rsidRDefault="00000000">
      <w:pPr>
        <w:pStyle w:val="Heading3"/>
      </w:pPr>
      <w:bookmarkStart w:id="26" w:name="dual-track-divergence"/>
      <w:bookmarkEnd w:id="25"/>
      <w:r>
        <w:rPr>
          <w:rFonts w:cs="Times New Roman"/>
        </w:rPr>
        <w:t>4.3 Dual-Track Divergence</w:t>
      </w:r>
    </w:p>
    <w:p w14:paraId="2D88ED1C" w14:textId="77777777" w:rsidR="00B46671" w:rsidRDefault="00000000">
      <w:pPr>
        <w:pStyle w:val="FirstParagraph"/>
      </w:pPr>
      <w:r>
        <w:rPr>
          <w:rFonts w:cs="Times New Roman"/>
        </w:rPr>
        <w:t xml:space="preserve">The dual-track framework produces identical results for three of the five products (conventional mortgage, </w:t>
      </w:r>
      <w:proofErr w:type="spellStart"/>
      <w:r>
        <w:rPr>
          <w:rFonts w:cs="Times New Roman"/>
        </w:rPr>
        <w:t>Musharakah</w:t>
      </w:r>
      <w:proofErr w:type="spellEnd"/>
      <w:r>
        <w:rPr>
          <w:rFonts w:cs="Times New Roman"/>
        </w:rPr>
        <w:t xml:space="preserve"> Mutanaqisah, and </w:t>
      </w:r>
      <w:proofErr w:type="spellStart"/>
      <w:r>
        <w:rPr>
          <w:rFonts w:cs="Times New Roman"/>
        </w:rPr>
        <w:t>organised</w:t>
      </w:r>
      <w:proofErr w:type="spellEnd"/>
      <w:r>
        <w:rPr>
          <w:rFonts w:cs="Times New Roman"/>
        </w:rPr>
        <w:t xml:space="preserve"> </w:t>
      </w:r>
      <w:proofErr w:type="spellStart"/>
      <w:r>
        <w:rPr>
          <w:rFonts w:cs="Times New Roman"/>
        </w:rPr>
        <w:t>Tawarruq</w:t>
      </w:r>
      <w:proofErr w:type="spellEnd"/>
      <w:r>
        <w:rPr>
          <w:rFonts w:cs="Times New Roman"/>
        </w:rPr>
        <w:t xml:space="preserve">). These arrangements are either clearly </w:t>
      </w:r>
      <w:proofErr w:type="spellStart"/>
      <w:r>
        <w:rPr>
          <w:rFonts w:cs="Times New Roman"/>
        </w:rPr>
        <w:t>ribawi</w:t>
      </w:r>
      <w:proofErr w:type="spellEnd"/>
      <w:r>
        <w:rPr>
          <w:rFonts w:cs="Times New Roman"/>
        </w:rPr>
        <w:t xml:space="preserve"> (conventional mortgage), clearly sound (</w:t>
      </w:r>
      <w:proofErr w:type="spellStart"/>
      <w:r>
        <w:rPr>
          <w:rFonts w:cs="Times New Roman"/>
        </w:rPr>
        <w:t>Musharakah</w:t>
      </w:r>
      <w:proofErr w:type="spellEnd"/>
      <w:r>
        <w:rPr>
          <w:rFonts w:cs="Times New Roman"/>
        </w:rPr>
        <w:t>), or clearly problematic (</w:t>
      </w:r>
      <w:proofErr w:type="spellStart"/>
      <w:r>
        <w:rPr>
          <w:rFonts w:cs="Times New Roman"/>
        </w:rPr>
        <w:t>Tawarruq</w:t>
      </w:r>
      <w:proofErr w:type="spellEnd"/>
      <w:r>
        <w:rPr>
          <w:rFonts w:cs="Times New Roman"/>
        </w:rPr>
        <w:t>) regardless of the analytical track.</w:t>
      </w:r>
    </w:p>
    <w:p w14:paraId="78FD0AEF" w14:textId="77777777" w:rsidR="00B46671" w:rsidRDefault="00000000">
      <w:pPr>
        <w:pStyle w:val="BodyText"/>
      </w:pPr>
      <w:r>
        <w:rPr>
          <w:rFonts w:cs="Times New Roman"/>
        </w:rPr>
        <w:t xml:space="preserve">The divergence emerges in the </w:t>
      </w:r>
      <w:proofErr w:type="spellStart"/>
      <w:r>
        <w:rPr>
          <w:rFonts w:cs="Times New Roman"/>
        </w:rPr>
        <w:t>Murabahah</w:t>
      </w:r>
      <w:proofErr w:type="spellEnd"/>
      <w:r>
        <w:rPr>
          <w:rFonts w:cs="Times New Roman"/>
        </w:rPr>
        <w:t xml:space="preserve"> home financing product. On the classical track, where fiat is treated as a </w:t>
      </w:r>
      <w:proofErr w:type="spellStart"/>
      <w:r>
        <w:rPr>
          <w:rFonts w:cs="Times New Roman"/>
        </w:rPr>
        <w:t>ribawi</w:t>
      </w:r>
      <w:proofErr w:type="spellEnd"/>
      <w:r>
        <w:rPr>
          <w:rFonts w:cs="Times New Roman"/>
        </w:rPr>
        <w:t xml:space="preserve"> medium, the fixed return on a fiat-denominated transaction is </w:t>
      </w:r>
      <w:proofErr w:type="spellStart"/>
      <w:r>
        <w:rPr>
          <w:rFonts w:cs="Times New Roman"/>
        </w:rPr>
        <w:t>analysed</w:t>
      </w:r>
      <w:proofErr w:type="spellEnd"/>
      <w:r>
        <w:rPr>
          <w:rFonts w:cs="Times New Roman"/>
        </w:rPr>
        <w:t xml:space="preserve"> under the full </w:t>
      </w:r>
      <w:proofErr w:type="spellStart"/>
      <w:r>
        <w:rPr>
          <w:rFonts w:cs="Times New Roman"/>
        </w:rPr>
        <w:t>ribawi</w:t>
      </w:r>
      <w:proofErr w:type="spellEnd"/>
      <w:r>
        <w:rPr>
          <w:rFonts w:cs="Times New Roman"/>
        </w:rPr>
        <w:t xml:space="preserve"> framework. On the fiat research track, the question shifts: if fiat currency does not satisfy the </w:t>
      </w:r>
      <w:proofErr w:type="spellStart"/>
      <w:r>
        <w:rPr>
          <w:rFonts w:cs="Times New Roman"/>
        </w:rPr>
        <w:t>ribawi</w:t>
      </w:r>
      <w:proofErr w:type="spellEnd"/>
      <w:r>
        <w:rPr>
          <w:rFonts w:cs="Times New Roman"/>
        </w:rPr>
        <w:t xml:space="preserve"> characteristics, the fixed return may represent a compensation mechanism for the structural </w:t>
      </w:r>
      <w:r>
        <w:rPr>
          <w:rFonts w:cs="Times New Roman"/>
        </w:rPr>
        <w:lastRenderedPageBreak/>
        <w:t>depreciation of the medium rather than Riba in the Quranic sense. The diagnostic does not resolve this question. It presents both analyses with their respective source citations, allowing the user to engage with the evidence directly.</w:t>
      </w:r>
    </w:p>
    <w:p w14:paraId="1E9962C5" w14:textId="77777777" w:rsidR="00B46671" w:rsidRDefault="00000000">
      <w:pPr>
        <w:pStyle w:val="BodyText"/>
      </w:pPr>
      <w:r>
        <w:rPr>
          <w:rFonts w:cs="Times New Roman"/>
        </w:rPr>
        <w:t>This dual-track approach is the methodological contribution of the framework. It does not advocate for either position. It makes both positions operational and transparent, enabling informed engagement with an unresolved scholarly question.</w:t>
      </w:r>
    </w:p>
    <w:p w14:paraId="7D6EE16D" w14:textId="77777777" w:rsidR="00B46671" w:rsidRDefault="00000000">
      <w:r>
        <w:rPr>
          <w:rFonts w:cs="Times New Roman"/>
        </w:rPr>
        <w:pict w14:anchorId="3DEDFEB2">
          <v:rect id="_x0000_i1030" style="width:0;height:1.5pt" o:hralign="center" o:hrstd="t" o:hr="t"/>
        </w:pict>
      </w:r>
    </w:p>
    <w:p w14:paraId="21CB05D7" w14:textId="77777777" w:rsidR="00B46671" w:rsidRDefault="00000000">
      <w:pPr>
        <w:pStyle w:val="Heading2"/>
      </w:pPr>
      <w:bookmarkStart w:id="27" w:name="discussion"/>
      <w:bookmarkEnd w:id="23"/>
      <w:bookmarkEnd w:id="26"/>
      <w:r>
        <w:rPr>
          <w:rFonts w:ascii="Times New Roman" w:hAnsi="Times New Roman" w:cs="Times New Roman"/>
        </w:rPr>
        <w:t>5. Discussion</w:t>
      </w:r>
    </w:p>
    <w:p w14:paraId="04ABCAAC" w14:textId="77777777" w:rsidR="00B46671" w:rsidRDefault="00000000">
      <w:pPr>
        <w:pStyle w:val="Heading3"/>
      </w:pPr>
      <w:bookmarkStart w:id="28" w:name="Xf674a2bdd1607c32a7ddf1ce967e7a77cae7003"/>
      <w:r>
        <w:rPr>
          <w:rFonts w:cs="Times New Roman"/>
        </w:rPr>
        <w:t>5.1 Implications for Shariah Compliance Practice</w:t>
      </w:r>
    </w:p>
    <w:p w14:paraId="4D8AD97D" w14:textId="77777777" w:rsidR="00B46671" w:rsidRDefault="00000000">
      <w:pPr>
        <w:pStyle w:val="FirstParagraph"/>
      </w:pPr>
      <w:r>
        <w:rPr>
          <w:rFonts w:cs="Times New Roman"/>
        </w:rPr>
        <w:t>The Mizan framework demonstrates that Shariah compliance evaluation can be made transparent, reproducible, and source-traceable without replacing the role of qualified scholars. The framework does not issue Fatwas. It provides a structured diagnostic baseline that scholars, practitioners, and researchers can use as a starting point for further analysis.</w:t>
      </w:r>
    </w:p>
    <w:p w14:paraId="62C6624E" w14:textId="77777777" w:rsidR="00B46671" w:rsidRDefault="00000000">
      <w:pPr>
        <w:pStyle w:val="BodyText"/>
      </w:pPr>
      <w:r>
        <w:rPr>
          <w:rFonts w:cs="Times New Roman"/>
        </w:rPr>
        <w:t>The source-tracing requirement, where every finding must be linked to a specific primary-source citation, addresses the transparency concern identified in Section 1.1. When a user receives a finding that an arrangement contains core Riba, the finding cites Surah Al-Baqarah 2:275-279, the root analysis of R-B-W, and specific classical commentaries. The user can verify the evidential chain independently. This is a fundamentally different model from the current practice, where compliance is often communicated as a binary ruling (permissible or impermissible) without transparent engagement with the underlying evidence.</w:t>
      </w:r>
    </w:p>
    <w:p w14:paraId="6FB638A1" w14:textId="77777777" w:rsidR="00B46671" w:rsidRDefault="00000000">
      <w:pPr>
        <w:pStyle w:val="Heading3"/>
      </w:pPr>
      <w:bookmarkStart w:id="29" w:name="the-fiat-currency-question"/>
      <w:bookmarkEnd w:id="28"/>
      <w:r>
        <w:rPr>
          <w:rFonts w:cs="Times New Roman"/>
        </w:rPr>
        <w:t>5.2 The Fiat Currency Question</w:t>
      </w:r>
    </w:p>
    <w:p w14:paraId="3CA760B7" w14:textId="77777777" w:rsidR="00B46671" w:rsidRDefault="00000000">
      <w:pPr>
        <w:pStyle w:val="FirstParagraph"/>
      </w:pPr>
      <w:r>
        <w:rPr>
          <w:rFonts w:cs="Times New Roman"/>
        </w:rPr>
        <w:t xml:space="preserve">The </w:t>
      </w:r>
      <w:proofErr w:type="spellStart"/>
      <w:r>
        <w:rPr>
          <w:rFonts w:cs="Times New Roman"/>
        </w:rPr>
        <w:t>ribawi</w:t>
      </w:r>
      <w:proofErr w:type="spellEnd"/>
      <w:r>
        <w:rPr>
          <w:rFonts w:cs="Times New Roman"/>
        </w:rPr>
        <w:t xml:space="preserve"> characteristics grid (Table 2) makes explicit what is typically assumed in contemporary Islamic finance. The majority scholarly position treats fiat currency as subject to </w:t>
      </w:r>
      <w:proofErr w:type="spellStart"/>
      <w:r>
        <w:rPr>
          <w:rFonts w:cs="Times New Roman"/>
        </w:rPr>
        <w:t>ribawi</w:t>
      </w:r>
      <w:proofErr w:type="spellEnd"/>
      <w:r>
        <w:rPr>
          <w:rFonts w:cs="Times New Roman"/>
        </w:rPr>
        <w:t xml:space="preserve"> rules on the basis of </w:t>
      </w:r>
      <w:proofErr w:type="spellStart"/>
      <w:r>
        <w:rPr>
          <w:rFonts w:cs="Times New Roman"/>
        </w:rPr>
        <w:t>thamaniyyah</w:t>
      </w:r>
      <w:proofErr w:type="spellEnd"/>
      <w:r>
        <w:rPr>
          <w:rFonts w:cs="Times New Roman"/>
        </w:rPr>
        <w:t xml:space="preserve"> (monetary nature). This position has been articulated by Justice Muhammad Taqi Usmani and endorsed by major Shariah boards globally (Usmani, 2002).</w:t>
      </w:r>
    </w:p>
    <w:p w14:paraId="7C36196E" w14:textId="77777777" w:rsidR="00B46671" w:rsidRDefault="00000000">
      <w:pPr>
        <w:pStyle w:val="BodyText"/>
      </w:pPr>
      <w:r>
        <w:rPr>
          <w:rFonts w:cs="Times New Roman"/>
        </w:rPr>
        <w:t xml:space="preserve">This paper does not challenge that position. It observes that the position resolves a genuinely open question through institutional consensus rather than through transparent application of the primary-source criteria that define </w:t>
      </w:r>
      <w:proofErr w:type="spellStart"/>
      <w:r>
        <w:rPr>
          <w:rFonts w:cs="Times New Roman"/>
        </w:rPr>
        <w:t>ribawi</w:t>
      </w:r>
      <w:proofErr w:type="spellEnd"/>
      <w:r>
        <w:rPr>
          <w:rFonts w:cs="Times New Roman"/>
        </w:rPr>
        <w:t xml:space="preserve"> commodities. The seven characteristics derived from the Hadith of Riba al-Fadl </w:t>
      </w:r>
      <w:r>
        <w:rPr>
          <w:rFonts w:cs="Times New Roman"/>
        </w:rPr>
        <w:lastRenderedPageBreak/>
        <w:t xml:space="preserve">provide a measurable framework for evaluating whether any given medium satisfies the conditions that trigger </w:t>
      </w:r>
      <w:proofErr w:type="spellStart"/>
      <w:r>
        <w:rPr>
          <w:rFonts w:cs="Times New Roman"/>
        </w:rPr>
        <w:t>ribawi</w:t>
      </w:r>
      <w:proofErr w:type="spellEnd"/>
      <w:r>
        <w:rPr>
          <w:rFonts w:cs="Times New Roman"/>
        </w:rPr>
        <w:t xml:space="preserve"> rules. When fiat currency is evaluated against these characteristics, it fails all seven.</w:t>
      </w:r>
    </w:p>
    <w:p w14:paraId="427A7FB5" w14:textId="77777777" w:rsidR="00B46671" w:rsidRDefault="00000000">
      <w:pPr>
        <w:pStyle w:val="BodyText"/>
      </w:pPr>
      <w:r>
        <w:rPr>
          <w:rFonts w:cs="Times New Roman"/>
        </w:rPr>
        <w:t xml:space="preserve">The implications of this observation extend beyond academic curiosity. If fiat currency does not satisfy the classical </w:t>
      </w:r>
      <w:proofErr w:type="spellStart"/>
      <w:r>
        <w:rPr>
          <w:rFonts w:cs="Times New Roman"/>
        </w:rPr>
        <w:t>ribawi</w:t>
      </w:r>
      <w:proofErr w:type="spellEnd"/>
      <w:r>
        <w:rPr>
          <w:rFonts w:cs="Times New Roman"/>
        </w:rPr>
        <w:t xml:space="preserve"> criteria, the entire analytical framework that contemporary Islamic finance applies to fiat-denominated transactions requires re-examination. This does not mean that interest on fiat is permissible; it means that the prohibition may need to be grounded in different jurisprudential reasoning, whether through the Maqasid al-Shariah (the fiat system’s structural violation of Hifz al-Mal), the concept of </w:t>
      </w:r>
      <w:proofErr w:type="spellStart"/>
      <w:r>
        <w:rPr>
          <w:rFonts w:cs="Times New Roman"/>
        </w:rPr>
        <w:t>Ghashsh</w:t>
      </w:r>
      <w:proofErr w:type="spellEnd"/>
      <w:r>
        <w:rPr>
          <w:rFonts w:cs="Times New Roman"/>
        </w:rPr>
        <w:t xml:space="preserve"> (adulteration or deception in the medium), or other analytical foundations.</w:t>
      </w:r>
    </w:p>
    <w:p w14:paraId="70820836" w14:textId="77777777" w:rsidR="00B46671" w:rsidRDefault="00000000">
      <w:pPr>
        <w:pStyle w:val="BodyText"/>
      </w:pPr>
      <w:r>
        <w:rPr>
          <w:rFonts w:cs="Times New Roman"/>
        </w:rPr>
        <w:t>Mizan contributes to this discourse not by resolving the question but by making it visible. When a user evaluates a fiat-denominated product, the tool does not silently assume one position. It presents both tracks, with their respective evidential foundations, and allows the user to engage with the evidence.</w:t>
      </w:r>
    </w:p>
    <w:p w14:paraId="4781E811" w14:textId="77777777" w:rsidR="00B46671" w:rsidRDefault="00000000">
      <w:pPr>
        <w:pStyle w:val="Heading3"/>
      </w:pPr>
      <w:bookmarkStart w:id="30" w:name="fintech-as-methodology-not-just-product"/>
      <w:bookmarkEnd w:id="29"/>
      <w:r>
        <w:rPr>
          <w:rFonts w:cs="Times New Roman"/>
        </w:rPr>
        <w:t>5.3 FinTech as Methodology, Not Just Product</w:t>
      </w:r>
    </w:p>
    <w:p w14:paraId="5DB0B61B" w14:textId="77777777" w:rsidR="00B46671" w:rsidRDefault="00000000">
      <w:pPr>
        <w:pStyle w:val="FirstParagraph"/>
      </w:pPr>
      <w:r>
        <w:rPr>
          <w:rFonts w:cs="Times New Roman"/>
        </w:rPr>
        <w:t xml:space="preserve">The current Islamic FinTech landscape is </w:t>
      </w:r>
      <w:proofErr w:type="spellStart"/>
      <w:r>
        <w:rPr>
          <w:rFonts w:cs="Times New Roman"/>
        </w:rPr>
        <w:t>characterised</w:t>
      </w:r>
      <w:proofErr w:type="spellEnd"/>
      <w:r>
        <w:rPr>
          <w:rFonts w:cs="Times New Roman"/>
        </w:rPr>
        <w:t xml:space="preserve"> by product-level innovation: digital banks, blockchain Sukuk, and </w:t>
      </w:r>
      <w:proofErr w:type="spellStart"/>
      <w:r>
        <w:rPr>
          <w:rFonts w:cs="Times New Roman"/>
        </w:rPr>
        <w:t>robo</w:t>
      </w:r>
      <w:proofErr w:type="spellEnd"/>
      <w:r>
        <w:rPr>
          <w:rFonts w:cs="Times New Roman"/>
        </w:rPr>
        <w:t xml:space="preserve">-advisors that apply Shariah-compliant wrappers to conventional FinTech models. Mizan represents a different category of innovation: methodology-level FinTech. Rather than </w:t>
      </w:r>
      <w:proofErr w:type="spellStart"/>
      <w:r>
        <w:rPr>
          <w:rFonts w:cs="Times New Roman"/>
        </w:rPr>
        <w:t>digitising</w:t>
      </w:r>
      <w:proofErr w:type="spellEnd"/>
      <w:r>
        <w:rPr>
          <w:rFonts w:cs="Times New Roman"/>
        </w:rPr>
        <w:t xml:space="preserve"> a financial product, it </w:t>
      </w:r>
      <w:proofErr w:type="spellStart"/>
      <w:r>
        <w:rPr>
          <w:rFonts w:cs="Times New Roman"/>
        </w:rPr>
        <w:t>digitises</w:t>
      </w:r>
      <w:proofErr w:type="spellEnd"/>
      <w:r>
        <w:rPr>
          <w:rFonts w:cs="Times New Roman"/>
        </w:rPr>
        <w:t xml:space="preserve"> the analytical framework that determines whether products are permissible.</w:t>
      </w:r>
    </w:p>
    <w:p w14:paraId="5F471328" w14:textId="77777777" w:rsidR="00B46671" w:rsidRDefault="00000000">
      <w:pPr>
        <w:pStyle w:val="BodyText"/>
      </w:pPr>
      <w:r>
        <w:rPr>
          <w:rFonts w:cs="Times New Roman"/>
        </w:rPr>
        <w:t>This distinction has practical significance. A digital Islamic bank still depends on its Shariah board for compliance determinations. Mizan does not replace that board, but it provides a transparent, reproducible baseline that the board, the bank’s clients, and external researchers can all access. The diagnostic output can serve as a starting point for scholarly review, a training tool for Islamic finance students, or a due diligence mechanism for retail consumers evaluating financial products.</w:t>
      </w:r>
    </w:p>
    <w:p w14:paraId="44B6CE35" w14:textId="77777777" w:rsidR="00B46671" w:rsidRDefault="00000000">
      <w:pPr>
        <w:pStyle w:val="BodyText"/>
      </w:pPr>
      <w:r>
        <w:rPr>
          <w:rFonts w:cs="Times New Roman"/>
        </w:rPr>
        <w:t>The rule-based architecture (as opposed to machine learning) is a deliberate design choice. Deterministic outputs, where the same inputs always produce the same findings, are essential for a diagnostic tool that claims transparency and reproducibility. Machine learning models, however powerful, introduce opacity that would undermine the framework’s core value proposition.</w:t>
      </w:r>
    </w:p>
    <w:p w14:paraId="34119794" w14:textId="77777777" w:rsidR="00B46671" w:rsidRDefault="00000000">
      <w:pPr>
        <w:pStyle w:val="Heading3"/>
      </w:pPr>
      <w:bookmarkStart w:id="31" w:name="limitations"/>
      <w:bookmarkEnd w:id="30"/>
      <w:r>
        <w:rPr>
          <w:rFonts w:cs="Times New Roman"/>
        </w:rPr>
        <w:t>5.4 Limitations</w:t>
      </w:r>
    </w:p>
    <w:p w14:paraId="21F0D7D1" w14:textId="77777777" w:rsidR="00B46671" w:rsidRDefault="00000000">
      <w:pPr>
        <w:pStyle w:val="FirstParagraph"/>
      </w:pPr>
      <w:r>
        <w:rPr>
          <w:rFonts w:cs="Times New Roman"/>
        </w:rPr>
        <w:t xml:space="preserve">Several limitations must be acknowledged. First, the seven </w:t>
      </w:r>
      <w:proofErr w:type="spellStart"/>
      <w:r>
        <w:rPr>
          <w:rFonts w:cs="Times New Roman"/>
        </w:rPr>
        <w:t>ribawi</w:t>
      </w:r>
      <w:proofErr w:type="spellEnd"/>
      <w:r>
        <w:rPr>
          <w:rFonts w:cs="Times New Roman"/>
        </w:rPr>
        <w:t xml:space="preserve"> characteristics are derived from one analytical framework. Other scholars may derive different characteristics or weight them differently. The framework does not claim to be the only valid derivation; it claims to be transparent and source-traceable.</w:t>
      </w:r>
    </w:p>
    <w:p w14:paraId="2F94389B" w14:textId="77777777" w:rsidR="00B46671" w:rsidRDefault="00000000">
      <w:pPr>
        <w:pStyle w:val="BodyText"/>
      </w:pPr>
      <w:r>
        <w:rPr>
          <w:rFonts w:cs="Times New Roman"/>
        </w:rPr>
        <w:lastRenderedPageBreak/>
        <w:t>Second, the diagnostic is rule-based and evaluates arrangements based on user-provided descriptions. Users may describe their arrangements inaccurately, whether through misunderstanding or deliberate misrepresentation. The diagnostic cannot verify the factual accuracy of user inputs.</w:t>
      </w:r>
    </w:p>
    <w:p w14:paraId="644C5751" w14:textId="77777777" w:rsidR="00B46671" w:rsidRDefault="00000000">
      <w:pPr>
        <w:pStyle w:val="BodyText"/>
      </w:pPr>
      <w:r>
        <w:rPr>
          <w:rFonts w:cs="Times New Roman"/>
        </w:rPr>
        <w:t xml:space="preserve">Third, the fiat currency analysis represents a minority scholarly position. The majority position, endorsed by AAOIFI, major Shariah boards, and leading scholars, treats fiat as subject to </w:t>
      </w:r>
      <w:proofErr w:type="spellStart"/>
      <w:r>
        <w:rPr>
          <w:rFonts w:cs="Times New Roman"/>
        </w:rPr>
        <w:t>ribawi</w:t>
      </w:r>
      <w:proofErr w:type="spellEnd"/>
      <w:r>
        <w:rPr>
          <w:rFonts w:cs="Times New Roman"/>
        </w:rPr>
        <w:t xml:space="preserve"> rules. While this paper does not argue against that position, the diagnostic’s dual-track framework may be interpreted as giving undue prominence to the minority view.</w:t>
      </w:r>
    </w:p>
    <w:p w14:paraId="5FBEA36D" w14:textId="77777777" w:rsidR="00B46671" w:rsidRDefault="00000000">
      <w:pPr>
        <w:pStyle w:val="BodyText"/>
      </w:pPr>
      <w:r>
        <w:rPr>
          <w:rFonts w:cs="Times New Roman"/>
        </w:rPr>
        <w:t>Fourth, the diagnostic does not constitute a Fatwa and is not intended to replace qualified scholarly opinion. It is a diagnostic tool that surfaces evidence and identifies structural patterns. The interpretation of that evidence remains the domain of qualified scholars and informed individuals.</w:t>
      </w:r>
    </w:p>
    <w:p w14:paraId="2F90871B" w14:textId="77777777" w:rsidR="00B46671" w:rsidRDefault="00000000">
      <w:pPr>
        <w:pStyle w:val="BodyText"/>
      </w:pPr>
      <w:r>
        <w:rPr>
          <w:rFonts w:cs="Times New Roman"/>
        </w:rPr>
        <w:t>Fifth, the current implementation covers six broad categories of financial activity but does not yet address all possible financial arrangements. Complex derivatives, structured products, and novel DeFi protocols may require additional question sets and finding categories.</w:t>
      </w:r>
    </w:p>
    <w:p w14:paraId="569BEFF9" w14:textId="77777777" w:rsidR="00B46671" w:rsidRDefault="00000000">
      <w:pPr>
        <w:pStyle w:val="Heading3"/>
      </w:pPr>
      <w:bookmarkStart w:id="32" w:name="future-research"/>
      <w:bookmarkEnd w:id="31"/>
      <w:r>
        <w:rPr>
          <w:rFonts w:cs="Times New Roman"/>
        </w:rPr>
        <w:t>5.5 Future Research</w:t>
      </w:r>
    </w:p>
    <w:p w14:paraId="37520324" w14:textId="77777777" w:rsidR="00B46671" w:rsidRDefault="00000000">
      <w:pPr>
        <w:pStyle w:val="FirstParagraph"/>
      </w:pPr>
      <w:r>
        <w:rPr>
          <w:rFonts w:cs="Times New Roman"/>
        </w:rPr>
        <w:t xml:space="preserve">Several directions for future research emerge from this work. Empirical validation of the diagnostic framework against published Shariah board rulings would measure concordance and divergence, identifying areas where the primary-source framework aligns with or departs from institutional consensus. Extension of the diagnostic to additional financial instruments, particularly complex derivatives and DeFi protocols, would expand the framework’s coverage. Collaborative development with Shariah scholars to refine the </w:t>
      </w:r>
      <w:proofErr w:type="spellStart"/>
      <w:r>
        <w:rPr>
          <w:rFonts w:cs="Times New Roman"/>
        </w:rPr>
        <w:t>ribawi</w:t>
      </w:r>
      <w:proofErr w:type="spellEnd"/>
      <w:r>
        <w:rPr>
          <w:rFonts w:cs="Times New Roman"/>
        </w:rPr>
        <w:t xml:space="preserve"> characteristics derivation and the diagnostic question sets would strengthen the framework’s scholarly foundation. Finally, integration with regulatory frameworks such as AAOIFI standards and IFSB guiding principles could position the diagnostic as a complement to existing compliance infrastructure.</w:t>
      </w:r>
    </w:p>
    <w:p w14:paraId="604F5431" w14:textId="77777777" w:rsidR="00B46671" w:rsidRDefault="00000000">
      <w:r>
        <w:rPr>
          <w:rFonts w:cs="Times New Roman"/>
        </w:rPr>
        <w:pict w14:anchorId="6E50B4D3">
          <v:rect id="_x0000_i1031" style="width:0;height:1.5pt" o:hralign="center" o:hrstd="t" o:hr="t"/>
        </w:pict>
      </w:r>
    </w:p>
    <w:p w14:paraId="5E5DCD04" w14:textId="77777777" w:rsidR="00B46671" w:rsidRDefault="00000000">
      <w:pPr>
        <w:pStyle w:val="Heading2"/>
      </w:pPr>
      <w:bookmarkStart w:id="33" w:name="conclusion"/>
      <w:bookmarkEnd w:id="27"/>
      <w:bookmarkEnd w:id="32"/>
      <w:r>
        <w:rPr>
          <w:rFonts w:ascii="Times New Roman" w:hAnsi="Times New Roman" w:cs="Times New Roman"/>
        </w:rPr>
        <w:t>6. Conclusion</w:t>
      </w:r>
    </w:p>
    <w:p w14:paraId="4F8EFDE6" w14:textId="77777777" w:rsidR="00B46671" w:rsidRDefault="00000000">
      <w:pPr>
        <w:pStyle w:val="FirstParagraph"/>
      </w:pPr>
      <w:r>
        <w:rPr>
          <w:rFonts w:cs="Times New Roman"/>
        </w:rPr>
        <w:t xml:space="preserve">This paper has presented Mizan, a primary-source diagnostic framework for evaluating Islamic financial instruments against classical </w:t>
      </w:r>
      <w:proofErr w:type="spellStart"/>
      <w:r>
        <w:rPr>
          <w:rFonts w:cs="Times New Roman"/>
        </w:rPr>
        <w:t>ribawi</w:t>
      </w:r>
      <w:proofErr w:type="spellEnd"/>
      <w:r>
        <w:rPr>
          <w:rFonts w:cs="Times New Roman"/>
        </w:rPr>
        <w:t xml:space="preserve"> characteristics. The framework addresses a critical gap in Islamic finance: the absence of a </w:t>
      </w:r>
      <w:proofErr w:type="spellStart"/>
      <w:r>
        <w:rPr>
          <w:rFonts w:cs="Times New Roman"/>
        </w:rPr>
        <w:t>standardised</w:t>
      </w:r>
      <w:proofErr w:type="spellEnd"/>
      <w:r>
        <w:rPr>
          <w:rFonts w:cs="Times New Roman"/>
        </w:rPr>
        <w:t>, transparent, source-traceable methodology for Shariah compliance evaluation.</w:t>
      </w:r>
    </w:p>
    <w:p w14:paraId="3BAF4C87" w14:textId="77777777" w:rsidR="00B46671" w:rsidRDefault="00000000">
      <w:pPr>
        <w:pStyle w:val="BodyText"/>
      </w:pPr>
      <w:r>
        <w:rPr>
          <w:rFonts w:cs="Times New Roman"/>
        </w:rPr>
        <w:lastRenderedPageBreak/>
        <w:t xml:space="preserve">Three contributions emerge from this work. First, the </w:t>
      </w:r>
      <w:proofErr w:type="spellStart"/>
      <w:r>
        <w:rPr>
          <w:rFonts w:cs="Times New Roman"/>
        </w:rPr>
        <w:t>ribawi</w:t>
      </w:r>
      <w:proofErr w:type="spellEnd"/>
      <w:r>
        <w:rPr>
          <w:rFonts w:cs="Times New Roman"/>
        </w:rPr>
        <w:t xml:space="preserve"> characteristics grid provides a measurable, reproducible methodology for evaluating whether a financial medium satisfies the criteria that trigger </w:t>
      </w:r>
      <w:proofErr w:type="spellStart"/>
      <w:r>
        <w:rPr>
          <w:rFonts w:cs="Times New Roman"/>
        </w:rPr>
        <w:t>ribawi</w:t>
      </w:r>
      <w:proofErr w:type="spellEnd"/>
      <w:r>
        <w:rPr>
          <w:rFonts w:cs="Times New Roman"/>
        </w:rPr>
        <w:t xml:space="preserve"> rules. The systematic application of this grid reveals that fiat currency fails all seven characteristics derived from the Hadith of Riba al-Fadl, an observation that warrants transparent scholarly engagement rather than institutional assumption.</w:t>
      </w:r>
    </w:p>
    <w:p w14:paraId="4F17A711" w14:textId="77777777" w:rsidR="00B46671" w:rsidRDefault="00000000">
      <w:pPr>
        <w:pStyle w:val="BodyText"/>
      </w:pPr>
      <w:r>
        <w:rPr>
          <w:rFonts w:cs="Times New Roman"/>
        </w:rPr>
        <w:t xml:space="preserve">Second, the strip test </w:t>
      </w:r>
      <w:proofErr w:type="spellStart"/>
      <w:r>
        <w:rPr>
          <w:rFonts w:cs="Times New Roman"/>
        </w:rPr>
        <w:t>operationalises</w:t>
      </w:r>
      <w:proofErr w:type="spellEnd"/>
      <w:r>
        <w:rPr>
          <w:rFonts w:cs="Times New Roman"/>
        </w:rPr>
        <w:t xml:space="preserve"> the form-versus-substance analysis of Ibn Qayyim al-</w:t>
      </w:r>
      <w:proofErr w:type="spellStart"/>
      <w:r>
        <w:rPr>
          <w:rFonts w:cs="Times New Roman"/>
        </w:rPr>
        <w:t>Jawziyyah</w:t>
      </w:r>
      <w:proofErr w:type="spellEnd"/>
      <w:r>
        <w:rPr>
          <w:rFonts w:cs="Times New Roman"/>
        </w:rPr>
        <w:t xml:space="preserve"> and Ibn Taymiyyah as a structured diagnostic question applicable to any financial arrangement. This test identifies the structural pattern that distinguishes genuine trade from disguised lending, regardless of the labels applied to the arrangement.</w:t>
      </w:r>
    </w:p>
    <w:p w14:paraId="597110B7" w14:textId="77777777" w:rsidR="00B46671" w:rsidRDefault="00000000">
      <w:pPr>
        <w:pStyle w:val="BodyText"/>
      </w:pPr>
      <w:r>
        <w:rPr>
          <w:rFonts w:cs="Times New Roman"/>
        </w:rPr>
        <w:t>Third, the dual-track analytical framework makes the fiat currency question explicit. Rather than silently assuming one scholarly position, the framework presents both the mainstream position and the primary-source analytical framework as operational tracks, allowing users to engage with the evidence directly.</w:t>
      </w:r>
    </w:p>
    <w:p w14:paraId="619B18A4" w14:textId="77777777" w:rsidR="00B46671" w:rsidRDefault="00000000">
      <w:pPr>
        <w:pStyle w:val="BodyText"/>
      </w:pPr>
      <w:r>
        <w:rPr>
          <w:rFonts w:cs="Times New Roman"/>
        </w:rPr>
        <w:t xml:space="preserve">The Islamic finance industry has reached a scale and complexity that demands analytical infrastructure commensurate with its ambitions. FinTech innovation in this space should extend beyond product </w:t>
      </w:r>
      <w:proofErr w:type="spellStart"/>
      <w:r>
        <w:rPr>
          <w:rFonts w:cs="Times New Roman"/>
        </w:rPr>
        <w:t>digitisation</w:t>
      </w:r>
      <w:proofErr w:type="spellEnd"/>
      <w:r>
        <w:rPr>
          <w:rFonts w:cs="Times New Roman"/>
        </w:rPr>
        <w:t xml:space="preserve"> to methodology </w:t>
      </w:r>
      <w:proofErr w:type="spellStart"/>
      <w:r>
        <w:rPr>
          <w:rFonts w:cs="Times New Roman"/>
        </w:rPr>
        <w:t>digitisation</w:t>
      </w:r>
      <w:proofErr w:type="spellEnd"/>
      <w:r>
        <w:rPr>
          <w:rFonts w:cs="Times New Roman"/>
        </w:rPr>
        <w:t>, making the jurisprudential foundations of Shariah compliance transparent, reproducible, and accessible. Mizan is an initial contribution to this objective. Its limitations are acknowledged, and its findings are offered for scholarly scrutiny, refinement, and extension.</w:t>
      </w:r>
    </w:p>
    <w:p w14:paraId="160D3574" w14:textId="77777777" w:rsidR="00B46671" w:rsidRDefault="00000000">
      <w:pPr>
        <w:pStyle w:val="BodyText"/>
      </w:pPr>
      <w:r>
        <w:rPr>
          <w:rFonts w:cs="Times New Roman"/>
        </w:rPr>
        <w:t>The tool is freely available at https://azim.cc/tools/mizan. The underlying research is published in full at https://azim.cc/blog/riba-research-paper. Any errors of interpretation are the author’s own.</w:t>
      </w:r>
    </w:p>
    <w:p w14:paraId="13C86FDF" w14:textId="77777777" w:rsidR="00B46671" w:rsidRDefault="00000000">
      <w:r>
        <w:rPr>
          <w:rFonts w:cs="Times New Roman"/>
        </w:rPr>
        <w:pict w14:anchorId="2935EB67">
          <v:rect id="_x0000_i1032" style="width:0;height:1.5pt" o:hralign="center" o:hrstd="t" o:hr="t"/>
        </w:pict>
      </w:r>
    </w:p>
    <w:p w14:paraId="0B78717E" w14:textId="77777777" w:rsidR="00B46671" w:rsidRDefault="00000000">
      <w:pPr>
        <w:pStyle w:val="Heading2"/>
      </w:pPr>
      <w:bookmarkStart w:id="34" w:name="declarations"/>
      <w:bookmarkEnd w:id="33"/>
      <w:r>
        <w:rPr>
          <w:rFonts w:ascii="Times New Roman" w:hAnsi="Times New Roman" w:cs="Times New Roman"/>
        </w:rPr>
        <w:t>Declarations</w:t>
      </w:r>
    </w:p>
    <w:p w14:paraId="26A69A15" w14:textId="77777777" w:rsidR="00B46671" w:rsidRDefault="00000000">
      <w:pPr>
        <w:pStyle w:val="FirstParagraph"/>
      </w:pPr>
      <w:r>
        <w:rPr>
          <w:rFonts w:cs="Times New Roman"/>
          <w:b/>
          <w:bCs/>
        </w:rPr>
        <w:t>Authorship Statement.</w:t>
      </w:r>
      <w:r>
        <w:rPr>
          <w:rFonts w:cs="Times New Roman"/>
        </w:rPr>
        <w:t xml:space="preserve"> This paper is the sole work of the named author. There are no guest, gift, or ghost authors. The research, analysis, diagnostic framework design, and writing are entirely the author’s own.</w:t>
      </w:r>
    </w:p>
    <w:p w14:paraId="6071F104" w14:textId="2F55396D" w:rsidR="00B46671" w:rsidRDefault="00000000">
      <w:pPr>
        <w:pStyle w:val="BodyText"/>
      </w:pPr>
      <w:r>
        <w:rPr>
          <w:rFonts w:cs="Times New Roman"/>
          <w:b/>
          <w:bCs/>
        </w:rPr>
        <w:t>AI Disclosure.</w:t>
      </w:r>
      <w:r>
        <w:rPr>
          <w:rFonts w:cs="Times New Roman"/>
        </w:rPr>
        <w:t xml:space="preserve"> An AI language model (Claude, Anthropic) was used in a limited capacity for language support during the preparation of this manuscript, specifically for grammar checking, sentence clarity, and formatting consistency. All research, analysis, arguments, conclusions, and intellectual content are entirely the author’s own. </w:t>
      </w:r>
    </w:p>
    <w:p w14:paraId="0E381B0B" w14:textId="77777777" w:rsidR="00B46671" w:rsidRDefault="00000000">
      <w:pPr>
        <w:pStyle w:val="BodyText"/>
      </w:pPr>
      <w:r>
        <w:rPr>
          <w:rFonts w:cs="Times New Roman"/>
          <w:b/>
          <w:bCs/>
        </w:rPr>
        <w:lastRenderedPageBreak/>
        <w:t>Conflict of Interest.</w:t>
      </w:r>
      <w:r>
        <w:rPr>
          <w:rFonts w:cs="Times New Roman"/>
        </w:rPr>
        <w:t xml:space="preserve"> The author declares no conflict of interest. The Mizan diagnostic tool is an open-access, non-commercial project with no institutional funding or commercial backing.</w:t>
      </w:r>
    </w:p>
    <w:p w14:paraId="197240C0" w14:textId="77777777" w:rsidR="00B46671" w:rsidRDefault="00000000">
      <w:pPr>
        <w:pStyle w:val="BodyText"/>
      </w:pPr>
      <w:r>
        <w:rPr>
          <w:rFonts w:cs="Times New Roman"/>
          <w:b/>
          <w:bCs/>
        </w:rPr>
        <w:t>Prior Publication.</w:t>
      </w:r>
      <w:r>
        <w:rPr>
          <w:rFonts w:cs="Times New Roman"/>
        </w:rPr>
        <w:t xml:space="preserve"> This submission has not been previously published, nor is it under consideration by any other journal.</w:t>
      </w:r>
    </w:p>
    <w:p w14:paraId="4F2AD1BA" w14:textId="77777777" w:rsidR="00B46671" w:rsidRDefault="00000000">
      <w:pPr>
        <w:pStyle w:val="BodyText"/>
      </w:pPr>
      <w:r>
        <w:rPr>
          <w:rFonts w:cs="Times New Roman"/>
          <w:b/>
          <w:bCs/>
        </w:rPr>
        <w:t>Ethics Statement.</w:t>
      </w:r>
      <w:r>
        <w:rPr>
          <w:rFonts w:cs="Times New Roman"/>
        </w:rPr>
        <w:t xml:space="preserve"> This research complies with JIBEP’s Research Ethics Guidelines and the COPE Code of Conduct. No human subjects, personal data, or confidential information were involved in this study.</w:t>
      </w:r>
    </w:p>
    <w:p w14:paraId="38BCAD74" w14:textId="77777777" w:rsidR="00B46671" w:rsidRDefault="00000000">
      <w:r>
        <w:rPr>
          <w:rFonts w:cs="Times New Roman"/>
        </w:rPr>
        <w:pict w14:anchorId="1494A5DD">
          <v:rect id="_x0000_i1033" style="width:0;height:1.5pt" o:hralign="center" o:hrstd="t" o:hr="t"/>
        </w:pict>
      </w:r>
    </w:p>
    <w:p w14:paraId="39570FA9" w14:textId="77777777" w:rsidR="00B46671" w:rsidRDefault="00000000">
      <w:pPr>
        <w:pStyle w:val="Heading2"/>
      </w:pPr>
      <w:bookmarkStart w:id="35" w:name="references"/>
      <w:bookmarkEnd w:id="34"/>
      <w:r>
        <w:rPr>
          <w:rFonts w:ascii="Times New Roman" w:hAnsi="Times New Roman" w:cs="Times New Roman"/>
        </w:rPr>
        <w:t>References</w:t>
      </w:r>
    </w:p>
    <w:p w14:paraId="5C009C09" w14:textId="77777777" w:rsidR="00B46671" w:rsidRDefault="00000000">
      <w:pPr>
        <w:pStyle w:val="FirstParagraph"/>
        <w:ind w:left="720" w:hanging="720"/>
      </w:pPr>
      <w:r>
        <w:rPr>
          <w:rFonts w:cs="Times New Roman"/>
        </w:rPr>
        <w:t xml:space="preserve">Abdul Majeed, M. A. (2026a). </w:t>
      </w:r>
      <w:r>
        <w:rPr>
          <w:rFonts w:cs="Times New Roman"/>
          <w:i/>
          <w:iCs/>
        </w:rPr>
        <w:t>From gold to paper: Riba, fiat currency, and the question nobody wants to ask</w:t>
      </w:r>
      <w:r>
        <w:rPr>
          <w:rFonts w:cs="Times New Roman"/>
        </w:rPr>
        <w:t>. https://azim.cc/blog/riba-research-paper</w:t>
      </w:r>
    </w:p>
    <w:p w14:paraId="1E6EF6B7" w14:textId="77777777" w:rsidR="00B46671" w:rsidRDefault="00000000">
      <w:pPr>
        <w:pStyle w:val="BodyText"/>
        <w:ind w:left="720" w:hanging="720"/>
      </w:pPr>
      <w:r>
        <w:rPr>
          <w:rFonts w:cs="Times New Roman"/>
        </w:rPr>
        <w:t xml:space="preserve">Abdul Majeed, M. A. (2026b). Introducing Mizan: An Islamic finance diagnostic built on first principles. </w:t>
      </w:r>
      <w:r>
        <w:rPr>
          <w:rFonts w:cs="Times New Roman"/>
          <w:i/>
          <w:iCs/>
        </w:rPr>
        <w:t>azim.cc</w:t>
      </w:r>
      <w:r>
        <w:rPr>
          <w:rFonts w:cs="Times New Roman"/>
        </w:rPr>
        <w:t>. https://azim.cc/blog/introducing-mizan</w:t>
      </w:r>
    </w:p>
    <w:p w14:paraId="21FB7E1C" w14:textId="77777777" w:rsidR="00B46671" w:rsidRDefault="00000000">
      <w:pPr>
        <w:pStyle w:val="BodyText"/>
        <w:ind w:left="720" w:hanging="720"/>
      </w:pPr>
      <w:r>
        <w:rPr>
          <w:rFonts w:cs="Times New Roman"/>
        </w:rPr>
        <w:t xml:space="preserve">Accounting and Auditing Organization for Islamic Financial Institutions. (2023). </w:t>
      </w:r>
      <w:r>
        <w:rPr>
          <w:rFonts w:cs="Times New Roman"/>
          <w:i/>
          <w:iCs/>
        </w:rPr>
        <w:t>Shariah standards</w:t>
      </w:r>
      <w:r>
        <w:rPr>
          <w:rFonts w:cs="Times New Roman"/>
        </w:rPr>
        <w:t>. AAOIFI.</w:t>
      </w:r>
    </w:p>
    <w:p w14:paraId="4821B16B" w14:textId="77777777" w:rsidR="00B46671" w:rsidRDefault="00000000">
      <w:pPr>
        <w:pStyle w:val="BodyText"/>
        <w:ind w:left="720" w:hanging="720"/>
      </w:pPr>
      <w:r>
        <w:rPr>
          <w:rFonts w:cs="Times New Roman"/>
        </w:rPr>
        <w:t xml:space="preserve">Alam, N., Gupta, L., &amp; </w:t>
      </w:r>
      <w:proofErr w:type="spellStart"/>
      <w:r>
        <w:rPr>
          <w:rFonts w:cs="Times New Roman"/>
        </w:rPr>
        <w:t>Zameni</w:t>
      </w:r>
      <w:proofErr w:type="spellEnd"/>
      <w:r>
        <w:rPr>
          <w:rFonts w:cs="Times New Roman"/>
        </w:rPr>
        <w:t xml:space="preserve">, A. (2022). </w:t>
      </w:r>
      <w:r>
        <w:rPr>
          <w:rFonts w:cs="Times New Roman"/>
          <w:i/>
          <w:iCs/>
        </w:rPr>
        <w:t>Fintech and Islamic finance: Digitalization, development and disruption</w:t>
      </w:r>
      <w:r>
        <w:rPr>
          <w:rFonts w:cs="Times New Roman"/>
        </w:rPr>
        <w:t>. Palgrave Macmillan.</w:t>
      </w:r>
    </w:p>
    <w:p w14:paraId="4FA02705" w14:textId="77777777" w:rsidR="00B46671" w:rsidRDefault="00000000">
      <w:pPr>
        <w:pStyle w:val="BodyText"/>
        <w:ind w:left="720" w:hanging="720"/>
      </w:pPr>
      <w:r>
        <w:rPr>
          <w:rFonts w:cs="Times New Roman"/>
        </w:rPr>
        <w:t xml:space="preserve">Al-Ghazali, A. H. (n.d.). </w:t>
      </w:r>
      <w:proofErr w:type="spellStart"/>
      <w:r>
        <w:rPr>
          <w:rFonts w:cs="Times New Roman"/>
          <w:i/>
          <w:iCs/>
        </w:rPr>
        <w:t>Ihya</w:t>
      </w:r>
      <w:proofErr w:type="spellEnd"/>
      <w:r>
        <w:rPr>
          <w:rFonts w:cs="Times New Roman"/>
          <w:i/>
          <w:iCs/>
        </w:rPr>
        <w:t>’ ’</w:t>
      </w:r>
      <w:proofErr w:type="spellStart"/>
      <w:r>
        <w:rPr>
          <w:rFonts w:cs="Times New Roman"/>
          <w:i/>
          <w:iCs/>
        </w:rPr>
        <w:t>ulum</w:t>
      </w:r>
      <w:proofErr w:type="spellEnd"/>
      <w:r>
        <w:rPr>
          <w:rFonts w:cs="Times New Roman"/>
          <w:i/>
          <w:iCs/>
        </w:rPr>
        <w:t xml:space="preserve"> al-din</w:t>
      </w:r>
      <w:r>
        <w:rPr>
          <w:rFonts w:cs="Times New Roman"/>
        </w:rPr>
        <w:t xml:space="preserve"> [The revival of the religious sciences]. Dar al-</w:t>
      </w:r>
      <w:proofErr w:type="spellStart"/>
      <w:r>
        <w:rPr>
          <w:rFonts w:cs="Times New Roman"/>
        </w:rPr>
        <w:t>Ma’rifah</w:t>
      </w:r>
      <w:proofErr w:type="spellEnd"/>
      <w:r>
        <w:rPr>
          <w:rFonts w:cs="Times New Roman"/>
        </w:rPr>
        <w:t>.</w:t>
      </w:r>
    </w:p>
    <w:p w14:paraId="4E05B9CA" w14:textId="77777777" w:rsidR="00B46671" w:rsidRDefault="00000000">
      <w:pPr>
        <w:pStyle w:val="BodyText"/>
        <w:ind w:left="720" w:hanging="720"/>
      </w:pPr>
      <w:r>
        <w:rPr>
          <w:rFonts w:cs="Times New Roman"/>
        </w:rPr>
        <w:t xml:space="preserve">Al-Qurtubi, M. A. (n.d.). </w:t>
      </w:r>
      <w:r>
        <w:rPr>
          <w:rFonts w:cs="Times New Roman"/>
          <w:i/>
          <w:iCs/>
        </w:rPr>
        <w:t>Al-Jami’ li-</w:t>
      </w:r>
      <w:proofErr w:type="spellStart"/>
      <w:r>
        <w:rPr>
          <w:rFonts w:cs="Times New Roman"/>
          <w:i/>
          <w:iCs/>
        </w:rPr>
        <w:t>ahkam</w:t>
      </w:r>
      <w:proofErr w:type="spellEnd"/>
      <w:r>
        <w:rPr>
          <w:rFonts w:cs="Times New Roman"/>
          <w:i/>
          <w:iCs/>
        </w:rPr>
        <w:t xml:space="preserve"> al-Qur’an</w:t>
      </w:r>
      <w:r>
        <w:rPr>
          <w:rFonts w:cs="Times New Roman"/>
        </w:rPr>
        <w:t xml:space="preserve"> [The comprehensive rulings of the Quran]. Dar al-</w:t>
      </w:r>
      <w:proofErr w:type="spellStart"/>
      <w:r>
        <w:rPr>
          <w:rFonts w:cs="Times New Roman"/>
        </w:rPr>
        <w:t>Kutub</w:t>
      </w:r>
      <w:proofErr w:type="spellEnd"/>
      <w:r>
        <w:rPr>
          <w:rFonts w:cs="Times New Roman"/>
        </w:rPr>
        <w:t xml:space="preserve"> al-</w:t>
      </w:r>
      <w:proofErr w:type="spellStart"/>
      <w:r>
        <w:rPr>
          <w:rFonts w:cs="Times New Roman"/>
        </w:rPr>
        <w:t>Misriyyah</w:t>
      </w:r>
      <w:proofErr w:type="spellEnd"/>
      <w:r>
        <w:rPr>
          <w:rFonts w:cs="Times New Roman"/>
        </w:rPr>
        <w:t>.</w:t>
      </w:r>
    </w:p>
    <w:p w14:paraId="4CB56574" w14:textId="77777777" w:rsidR="00B46671" w:rsidRDefault="00000000">
      <w:pPr>
        <w:pStyle w:val="BodyText"/>
        <w:ind w:left="720" w:hanging="720"/>
      </w:pPr>
      <w:r>
        <w:rPr>
          <w:rFonts w:cs="Times New Roman"/>
        </w:rPr>
        <w:t>Al-</w:t>
      </w:r>
      <w:proofErr w:type="spellStart"/>
      <w:r>
        <w:rPr>
          <w:rFonts w:cs="Times New Roman"/>
        </w:rPr>
        <w:t>Sarakhsi</w:t>
      </w:r>
      <w:proofErr w:type="spellEnd"/>
      <w:r>
        <w:rPr>
          <w:rFonts w:cs="Times New Roman"/>
        </w:rPr>
        <w:t xml:space="preserve">, M. A. (n.d.). </w:t>
      </w:r>
      <w:r>
        <w:rPr>
          <w:rFonts w:cs="Times New Roman"/>
          <w:i/>
          <w:iCs/>
        </w:rPr>
        <w:t>Al-</w:t>
      </w:r>
      <w:proofErr w:type="spellStart"/>
      <w:r>
        <w:rPr>
          <w:rFonts w:cs="Times New Roman"/>
          <w:i/>
          <w:iCs/>
        </w:rPr>
        <w:t>Mabsut</w:t>
      </w:r>
      <w:proofErr w:type="spellEnd"/>
      <w:r>
        <w:rPr>
          <w:rFonts w:cs="Times New Roman"/>
        </w:rPr>
        <w:t>. Dar al-</w:t>
      </w:r>
      <w:proofErr w:type="spellStart"/>
      <w:r>
        <w:rPr>
          <w:rFonts w:cs="Times New Roman"/>
        </w:rPr>
        <w:t>Ma’rifah</w:t>
      </w:r>
      <w:proofErr w:type="spellEnd"/>
      <w:r>
        <w:rPr>
          <w:rFonts w:cs="Times New Roman"/>
        </w:rPr>
        <w:t>.</w:t>
      </w:r>
    </w:p>
    <w:p w14:paraId="660202A2" w14:textId="77777777" w:rsidR="00B46671" w:rsidRDefault="00000000">
      <w:pPr>
        <w:pStyle w:val="BodyText"/>
        <w:ind w:left="720" w:hanging="720"/>
      </w:pPr>
      <w:r>
        <w:rPr>
          <w:rFonts w:cs="Times New Roman"/>
        </w:rPr>
        <w:t xml:space="preserve">Al-Tabari, M. J. (n.d.). </w:t>
      </w:r>
      <w:r>
        <w:rPr>
          <w:rFonts w:cs="Times New Roman"/>
          <w:i/>
          <w:iCs/>
        </w:rPr>
        <w:t>Jami’ al-bayan ’</w:t>
      </w:r>
      <w:proofErr w:type="gramStart"/>
      <w:r>
        <w:rPr>
          <w:rFonts w:cs="Times New Roman"/>
          <w:i/>
          <w:iCs/>
        </w:rPr>
        <w:t>an</w:t>
      </w:r>
      <w:proofErr w:type="gramEnd"/>
      <w:r>
        <w:rPr>
          <w:rFonts w:cs="Times New Roman"/>
          <w:i/>
          <w:iCs/>
        </w:rPr>
        <w:t xml:space="preserve"> </w:t>
      </w:r>
      <w:proofErr w:type="spellStart"/>
      <w:r>
        <w:rPr>
          <w:rFonts w:cs="Times New Roman"/>
          <w:i/>
          <w:iCs/>
        </w:rPr>
        <w:t>ta’wil</w:t>
      </w:r>
      <w:proofErr w:type="spellEnd"/>
      <w:r>
        <w:rPr>
          <w:rFonts w:cs="Times New Roman"/>
          <w:i/>
          <w:iCs/>
        </w:rPr>
        <w:t xml:space="preserve"> ay al-Qur’an</w:t>
      </w:r>
      <w:r>
        <w:rPr>
          <w:rFonts w:cs="Times New Roman"/>
        </w:rPr>
        <w:t xml:space="preserve"> [The comprehensive exposition of the interpretation of the verses of the Quran]. Dar Hajar.</w:t>
      </w:r>
    </w:p>
    <w:p w14:paraId="762BE57A" w14:textId="77777777" w:rsidR="00B46671" w:rsidRDefault="00000000">
      <w:pPr>
        <w:pStyle w:val="BodyText"/>
        <w:ind w:left="720" w:hanging="720"/>
      </w:pPr>
      <w:r>
        <w:rPr>
          <w:rFonts w:cs="Times New Roman"/>
        </w:rPr>
        <w:t>Al-</w:t>
      </w:r>
      <w:proofErr w:type="spellStart"/>
      <w:r>
        <w:rPr>
          <w:rFonts w:cs="Times New Roman"/>
        </w:rPr>
        <w:t>Zuhayli</w:t>
      </w:r>
      <w:proofErr w:type="spellEnd"/>
      <w:r>
        <w:rPr>
          <w:rFonts w:cs="Times New Roman"/>
        </w:rPr>
        <w:t xml:space="preserve">, W. (2003). </w:t>
      </w:r>
      <w:r>
        <w:rPr>
          <w:rFonts w:cs="Times New Roman"/>
          <w:i/>
          <w:iCs/>
        </w:rPr>
        <w:t xml:space="preserve">Al-Fiqh al-Islami </w:t>
      </w:r>
      <w:proofErr w:type="spellStart"/>
      <w:r>
        <w:rPr>
          <w:rFonts w:cs="Times New Roman"/>
          <w:i/>
          <w:iCs/>
        </w:rPr>
        <w:t>wa</w:t>
      </w:r>
      <w:proofErr w:type="spellEnd"/>
      <w:r>
        <w:rPr>
          <w:rFonts w:cs="Times New Roman"/>
          <w:i/>
          <w:iCs/>
        </w:rPr>
        <w:t xml:space="preserve"> </w:t>
      </w:r>
      <w:proofErr w:type="spellStart"/>
      <w:r>
        <w:rPr>
          <w:rFonts w:cs="Times New Roman"/>
          <w:i/>
          <w:iCs/>
        </w:rPr>
        <w:t>adillatuhu</w:t>
      </w:r>
      <w:proofErr w:type="spellEnd"/>
      <w:r>
        <w:rPr>
          <w:rFonts w:cs="Times New Roman"/>
        </w:rPr>
        <w:t xml:space="preserve"> [Islamic jurisprudence and its evidences] (3rd ed.). Dar al-Fikr.</w:t>
      </w:r>
    </w:p>
    <w:p w14:paraId="0D0F775A" w14:textId="77777777" w:rsidR="00B46671" w:rsidRDefault="00000000">
      <w:pPr>
        <w:pStyle w:val="BodyText"/>
        <w:ind w:left="720" w:hanging="720"/>
      </w:pPr>
      <w:r>
        <w:rPr>
          <w:rFonts w:cs="Times New Roman"/>
        </w:rPr>
        <w:t xml:space="preserve">Biancone, P. P., Saiti, B., &amp; </w:t>
      </w:r>
      <w:proofErr w:type="spellStart"/>
      <w:r>
        <w:rPr>
          <w:rFonts w:cs="Times New Roman"/>
        </w:rPr>
        <w:t>Petricean</w:t>
      </w:r>
      <w:proofErr w:type="spellEnd"/>
      <w:r>
        <w:rPr>
          <w:rFonts w:cs="Times New Roman"/>
        </w:rPr>
        <w:t xml:space="preserve">, D. (2020). The bibliometric analysis of Islamic banking and finance. </w:t>
      </w:r>
      <w:r>
        <w:rPr>
          <w:rFonts w:cs="Times New Roman"/>
          <w:i/>
          <w:iCs/>
        </w:rPr>
        <w:t>Journal of Islamic Accounting and Business Research</w:t>
      </w:r>
      <w:r>
        <w:rPr>
          <w:rFonts w:cs="Times New Roman"/>
        </w:rPr>
        <w:t xml:space="preserve">, </w:t>
      </w:r>
      <w:r>
        <w:rPr>
          <w:rFonts w:cs="Times New Roman"/>
          <w:i/>
          <w:iCs/>
        </w:rPr>
        <w:t>11</w:t>
      </w:r>
      <w:r>
        <w:rPr>
          <w:rFonts w:cs="Times New Roman"/>
        </w:rPr>
        <w:t>(9), 2069-2086. https://doi.org/10.1108/JIABR-08-2020-0235</w:t>
      </w:r>
    </w:p>
    <w:p w14:paraId="25627F41" w14:textId="77777777" w:rsidR="00B46671" w:rsidRDefault="00000000">
      <w:pPr>
        <w:pStyle w:val="BodyText"/>
        <w:ind w:left="720" w:hanging="720"/>
      </w:pPr>
      <w:r>
        <w:rPr>
          <w:rFonts w:cs="Times New Roman"/>
        </w:rPr>
        <w:lastRenderedPageBreak/>
        <w:t xml:space="preserve">Derigs, U., &amp; Marzban, S. (2008). Review and analysis of current Shariah-compliant equity screening practices. </w:t>
      </w:r>
      <w:r>
        <w:rPr>
          <w:rFonts w:cs="Times New Roman"/>
          <w:i/>
          <w:iCs/>
        </w:rPr>
        <w:t>International Journal of Islamic and Middle Eastern Finance and Management</w:t>
      </w:r>
      <w:r>
        <w:rPr>
          <w:rFonts w:cs="Times New Roman"/>
        </w:rPr>
        <w:t xml:space="preserve">, </w:t>
      </w:r>
      <w:r>
        <w:rPr>
          <w:rFonts w:cs="Times New Roman"/>
          <w:i/>
          <w:iCs/>
        </w:rPr>
        <w:t>1</w:t>
      </w:r>
      <w:r>
        <w:rPr>
          <w:rFonts w:cs="Times New Roman"/>
        </w:rPr>
        <w:t>(4), 285-303. https://doi.org/10.1108/17538390810919600</w:t>
      </w:r>
    </w:p>
    <w:p w14:paraId="4EB8A5FF" w14:textId="77777777" w:rsidR="00B46671" w:rsidRDefault="00000000">
      <w:pPr>
        <w:pStyle w:val="BodyText"/>
        <w:ind w:left="720" w:hanging="720"/>
      </w:pPr>
      <w:r>
        <w:rPr>
          <w:rFonts w:cs="Times New Roman"/>
        </w:rPr>
        <w:t xml:space="preserve">Hassan, M. K., Aliyu, S., Saiti, B., &amp; Abdul Halim, Z. (2019). A review of Islamic stock market, growth and real-estate finance literature. </w:t>
      </w:r>
      <w:r>
        <w:rPr>
          <w:rFonts w:cs="Times New Roman"/>
          <w:i/>
          <w:iCs/>
        </w:rPr>
        <w:t>International Journal of Emerging Markets</w:t>
      </w:r>
      <w:r>
        <w:rPr>
          <w:rFonts w:cs="Times New Roman"/>
        </w:rPr>
        <w:t xml:space="preserve">, </w:t>
      </w:r>
      <w:r>
        <w:rPr>
          <w:rFonts w:cs="Times New Roman"/>
          <w:i/>
          <w:iCs/>
        </w:rPr>
        <w:t>15</w:t>
      </w:r>
      <w:r>
        <w:rPr>
          <w:rFonts w:cs="Times New Roman"/>
        </w:rPr>
        <w:t>(4), 643-668. https://doi.org/10.1108/IJOEM-11-2019-1001</w:t>
      </w:r>
    </w:p>
    <w:p w14:paraId="1CC5091F" w14:textId="77777777" w:rsidR="00B46671" w:rsidRDefault="00000000">
      <w:pPr>
        <w:pStyle w:val="BodyText"/>
        <w:ind w:left="720" w:hanging="720"/>
      </w:pPr>
      <w:r>
        <w:rPr>
          <w:rFonts w:cs="Times New Roman"/>
        </w:rPr>
        <w:t xml:space="preserve">Hevner, A. R., March, S. T., Park, J., &amp; Ram, S. (2004). Design science in information systems research. </w:t>
      </w:r>
      <w:r>
        <w:rPr>
          <w:rFonts w:cs="Times New Roman"/>
          <w:i/>
          <w:iCs/>
        </w:rPr>
        <w:t>MIS Quarterly</w:t>
      </w:r>
      <w:r>
        <w:rPr>
          <w:rFonts w:cs="Times New Roman"/>
        </w:rPr>
        <w:t xml:space="preserve">, </w:t>
      </w:r>
      <w:r>
        <w:rPr>
          <w:rFonts w:cs="Times New Roman"/>
          <w:i/>
          <w:iCs/>
        </w:rPr>
        <w:t>28</w:t>
      </w:r>
      <w:r>
        <w:rPr>
          <w:rFonts w:cs="Times New Roman"/>
        </w:rPr>
        <w:t>(1), 75-105. https://doi.org/10.2307/25148625</w:t>
      </w:r>
    </w:p>
    <w:p w14:paraId="4DFBA9CD" w14:textId="77777777" w:rsidR="00B46671" w:rsidRDefault="00000000">
      <w:pPr>
        <w:pStyle w:val="BodyText"/>
        <w:ind w:left="720" w:hanging="720"/>
      </w:pPr>
      <w:r>
        <w:rPr>
          <w:rFonts w:cs="Times New Roman"/>
        </w:rPr>
        <w:t>Ibn Qayyim al-</w:t>
      </w:r>
      <w:proofErr w:type="spellStart"/>
      <w:r>
        <w:rPr>
          <w:rFonts w:cs="Times New Roman"/>
        </w:rPr>
        <w:t>Jawziyyah</w:t>
      </w:r>
      <w:proofErr w:type="spellEnd"/>
      <w:r>
        <w:rPr>
          <w:rFonts w:cs="Times New Roman"/>
        </w:rPr>
        <w:t xml:space="preserve">, M. A. (n.d.). </w:t>
      </w:r>
      <w:r>
        <w:rPr>
          <w:rFonts w:cs="Times New Roman"/>
          <w:i/>
          <w:iCs/>
        </w:rPr>
        <w:t>I’lam al-</w:t>
      </w:r>
      <w:proofErr w:type="spellStart"/>
      <w:r>
        <w:rPr>
          <w:rFonts w:cs="Times New Roman"/>
          <w:i/>
          <w:iCs/>
        </w:rPr>
        <w:t>muwaqqi’in</w:t>
      </w:r>
      <w:proofErr w:type="spellEnd"/>
      <w:r>
        <w:rPr>
          <w:rFonts w:cs="Times New Roman"/>
          <w:i/>
          <w:iCs/>
        </w:rPr>
        <w:t xml:space="preserve"> ’</w:t>
      </w:r>
      <w:proofErr w:type="gramStart"/>
      <w:r>
        <w:rPr>
          <w:rFonts w:cs="Times New Roman"/>
          <w:i/>
          <w:iCs/>
        </w:rPr>
        <w:t>an</w:t>
      </w:r>
      <w:proofErr w:type="gramEnd"/>
      <w:r>
        <w:rPr>
          <w:rFonts w:cs="Times New Roman"/>
          <w:i/>
          <w:iCs/>
        </w:rPr>
        <w:t xml:space="preserve"> </w:t>
      </w:r>
      <w:proofErr w:type="spellStart"/>
      <w:r>
        <w:rPr>
          <w:rFonts w:cs="Times New Roman"/>
          <w:i/>
          <w:iCs/>
        </w:rPr>
        <w:t>rabb</w:t>
      </w:r>
      <w:proofErr w:type="spellEnd"/>
      <w:r>
        <w:rPr>
          <w:rFonts w:cs="Times New Roman"/>
          <w:i/>
          <w:iCs/>
        </w:rPr>
        <w:t xml:space="preserve"> al-’</w:t>
      </w:r>
      <w:proofErr w:type="spellStart"/>
      <w:r>
        <w:rPr>
          <w:rFonts w:cs="Times New Roman"/>
          <w:i/>
          <w:iCs/>
        </w:rPr>
        <w:t>alamin</w:t>
      </w:r>
      <w:proofErr w:type="spellEnd"/>
      <w:r>
        <w:rPr>
          <w:rFonts w:cs="Times New Roman"/>
        </w:rPr>
        <w:t xml:space="preserve"> [A notice to those who issue rulings on behalf of the Lord of the worlds]. Dar al-</w:t>
      </w:r>
      <w:proofErr w:type="spellStart"/>
      <w:r>
        <w:rPr>
          <w:rFonts w:cs="Times New Roman"/>
        </w:rPr>
        <w:t>Kutub</w:t>
      </w:r>
      <w:proofErr w:type="spellEnd"/>
      <w:r>
        <w:rPr>
          <w:rFonts w:cs="Times New Roman"/>
        </w:rPr>
        <w:t xml:space="preserve"> al-’</w:t>
      </w:r>
      <w:proofErr w:type="spellStart"/>
      <w:r>
        <w:rPr>
          <w:rFonts w:cs="Times New Roman"/>
        </w:rPr>
        <w:t>Ilmiyyah</w:t>
      </w:r>
      <w:proofErr w:type="spellEnd"/>
      <w:r>
        <w:rPr>
          <w:rFonts w:cs="Times New Roman"/>
        </w:rPr>
        <w:t>.</w:t>
      </w:r>
    </w:p>
    <w:p w14:paraId="4AADF883" w14:textId="77777777" w:rsidR="00B46671" w:rsidRDefault="00000000">
      <w:pPr>
        <w:pStyle w:val="BodyText"/>
        <w:ind w:left="720" w:hanging="720"/>
      </w:pPr>
      <w:r>
        <w:rPr>
          <w:rFonts w:cs="Times New Roman"/>
        </w:rPr>
        <w:t xml:space="preserve">Ibn Qudamah, M. A. (n.d.). </w:t>
      </w:r>
      <w:r>
        <w:rPr>
          <w:rFonts w:cs="Times New Roman"/>
          <w:i/>
          <w:iCs/>
        </w:rPr>
        <w:t>Al-Mughni</w:t>
      </w:r>
      <w:r>
        <w:rPr>
          <w:rFonts w:cs="Times New Roman"/>
        </w:rPr>
        <w:t>. Dar Ihya’ al-</w:t>
      </w:r>
      <w:proofErr w:type="spellStart"/>
      <w:r>
        <w:rPr>
          <w:rFonts w:cs="Times New Roman"/>
        </w:rPr>
        <w:t>Turath</w:t>
      </w:r>
      <w:proofErr w:type="spellEnd"/>
      <w:r>
        <w:rPr>
          <w:rFonts w:cs="Times New Roman"/>
        </w:rPr>
        <w:t xml:space="preserve"> al-’Arabi.</w:t>
      </w:r>
    </w:p>
    <w:p w14:paraId="0F2387AB" w14:textId="77777777" w:rsidR="00B46671" w:rsidRDefault="00000000">
      <w:pPr>
        <w:pStyle w:val="BodyText"/>
        <w:ind w:left="720" w:hanging="720"/>
      </w:pPr>
      <w:r>
        <w:rPr>
          <w:rFonts w:cs="Times New Roman"/>
        </w:rPr>
        <w:t xml:space="preserve">Ibn Taymiyyah, A. A. (n.d.). </w:t>
      </w:r>
      <w:proofErr w:type="spellStart"/>
      <w:r>
        <w:rPr>
          <w:rFonts w:cs="Times New Roman"/>
          <w:i/>
          <w:iCs/>
        </w:rPr>
        <w:t>Majmu</w:t>
      </w:r>
      <w:proofErr w:type="spellEnd"/>
      <w:r>
        <w:rPr>
          <w:rFonts w:cs="Times New Roman"/>
          <w:i/>
          <w:iCs/>
        </w:rPr>
        <w:t>’ al-</w:t>
      </w:r>
      <w:proofErr w:type="spellStart"/>
      <w:r>
        <w:rPr>
          <w:rFonts w:cs="Times New Roman"/>
          <w:i/>
          <w:iCs/>
        </w:rPr>
        <w:t>fatawa</w:t>
      </w:r>
      <w:proofErr w:type="spellEnd"/>
      <w:r>
        <w:rPr>
          <w:rFonts w:cs="Times New Roman"/>
        </w:rPr>
        <w:t xml:space="preserve"> [Compilation of legal rulings]. Dar al-Wafa’.</w:t>
      </w:r>
    </w:p>
    <w:p w14:paraId="611868EF" w14:textId="77777777" w:rsidR="00B46671" w:rsidRDefault="00000000">
      <w:pPr>
        <w:pStyle w:val="BodyText"/>
        <w:ind w:left="720" w:hanging="720"/>
      </w:pPr>
      <w:r>
        <w:rPr>
          <w:rFonts w:cs="Times New Roman"/>
        </w:rPr>
        <w:t xml:space="preserve">Islamic Financial Services Board. (2024). </w:t>
      </w:r>
      <w:r>
        <w:rPr>
          <w:rFonts w:cs="Times New Roman"/>
          <w:i/>
          <w:iCs/>
        </w:rPr>
        <w:t>Islamic financial services industry stability report 2024</w:t>
      </w:r>
      <w:r>
        <w:rPr>
          <w:rFonts w:cs="Times New Roman"/>
        </w:rPr>
        <w:t>. IFSB.</w:t>
      </w:r>
    </w:p>
    <w:p w14:paraId="007E9369" w14:textId="77777777" w:rsidR="00B46671" w:rsidRDefault="00000000">
      <w:pPr>
        <w:pStyle w:val="BodyText"/>
        <w:ind w:left="720" w:hanging="720"/>
      </w:pPr>
      <w:r>
        <w:rPr>
          <w:rFonts w:cs="Times New Roman"/>
        </w:rPr>
        <w:t xml:space="preserve">Islamic Fiqh Academy. (2009). Resolution No. 179 (19/5) on </w:t>
      </w:r>
      <w:proofErr w:type="spellStart"/>
      <w:r>
        <w:rPr>
          <w:rFonts w:cs="Times New Roman"/>
        </w:rPr>
        <w:t>organised</w:t>
      </w:r>
      <w:proofErr w:type="spellEnd"/>
      <w:r>
        <w:rPr>
          <w:rFonts w:cs="Times New Roman"/>
        </w:rPr>
        <w:t xml:space="preserve"> </w:t>
      </w:r>
      <w:proofErr w:type="spellStart"/>
      <w:r>
        <w:rPr>
          <w:rFonts w:cs="Times New Roman"/>
        </w:rPr>
        <w:t>Tawarruq</w:t>
      </w:r>
      <w:proofErr w:type="spellEnd"/>
      <w:r>
        <w:rPr>
          <w:rFonts w:cs="Times New Roman"/>
        </w:rPr>
        <w:t xml:space="preserve">. </w:t>
      </w:r>
      <w:proofErr w:type="spellStart"/>
      <w:r>
        <w:rPr>
          <w:rFonts w:cs="Times New Roman"/>
          <w:i/>
          <w:iCs/>
        </w:rPr>
        <w:t>Organisation</w:t>
      </w:r>
      <w:proofErr w:type="spellEnd"/>
      <w:r>
        <w:rPr>
          <w:rFonts w:cs="Times New Roman"/>
          <w:i/>
          <w:iCs/>
        </w:rPr>
        <w:t xml:space="preserve"> of Islamic Cooperation</w:t>
      </w:r>
      <w:r>
        <w:rPr>
          <w:rFonts w:cs="Times New Roman"/>
        </w:rPr>
        <w:t>.</w:t>
      </w:r>
    </w:p>
    <w:p w14:paraId="12E9DCEB" w14:textId="77777777" w:rsidR="00B46671" w:rsidRDefault="00000000">
      <w:pPr>
        <w:pStyle w:val="BodyText"/>
        <w:ind w:left="720" w:hanging="720"/>
      </w:pPr>
      <w:r>
        <w:rPr>
          <w:rFonts w:cs="Times New Roman"/>
        </w:rPr>
        <w:t xml:space="preserve">Noman, M. (2025). Blockchain adoption challenges and solutions in Bangladesh. </w:t>
      </w:r>
      <w:r>
        <w:rPr>
          <w:rFonts w:cs="Times New Roman"/>
          <w:i/>
          <w:iCs/>
        </w:rPr>
        <w:t>Journal of Islamic Banking, Economics and Policy</w:t>
      </w:r>
      <w:r>
        <w:rPr>
          <w:rFonts w:cs="Times New Roman"/>
        </w:rPr>
        <w:t xml:space="preserve">, </w:t>
      </w:r>
      <w:r>
        <w:rPr>
          <w:rFonts w:cs="Times New Roman"/>
          <w:i/>
          <w:iCs/>
        </w:rPr>
        <w:t>1</w:t>
      </w:r>
      <w:r>
        <w:rPr>
          <w:rFonts w:cs="Times New Roman"/>
        </w:rPr>
        <w:t>(2), 2-19.</w:t>
      </w:r>
    </w:p>
    <w:p w14:paraId="30CCD893" w14:textId="77777777" w:rsidR="00B46671" w:rsidRDefault="00000000">
      <w:pPr>
        <w:pStyle w:val="BodyText"/>
        <w:ind w:left="720" w:hanging="720"/>
      </w:pPr>
      <w:r>
        <w:rPr>
          <w:rFonts w:cs="Times New Roman"/>
        </w:rPr>
        <w:t xml:space="preserve">Peffers, K., </w:t>
      </w:r>
      <w:proofErr w:type="spellStart"/>
      <w:r>
        <w:rPr>
          <w:rFonts w:cs="Times New Roman"/>
        </w:rPr>
        <w:t>Tuunanen</w:t>
      </w:r>
      <w:proofErr w:type="spellEnd"/>
      <w:r>
        <w:rPr>
          <w:rFonts w:cs="Times New Roman"/>
        </w:rPr>
        <w:t xml:space="preserve">, T., Rothenberger, M. A., &amp; Chatterjee, S. (2007). A design science research methodology for information systems research. </w:t>
      </w:r>
      <w:r>
        <w:rPr>
          <w:rFonts w:cs="Times New Roman"/>
          <w:i/>
          <w:iCs/>
        </w:rPr>
        <w:t>Journal of Management Information Systems</w:t>
      </w:r>
      <w:r>
        <w:rPr>
          <w:rFonts w:cs="Times New Roman"/>
        </w:rPr>
        <w:t xml:space="preserve">, </w:t>
      </w:r>
      <w:r>
        <w:rPr>
          <w:rFonts w:cs="Times New Roman"/>
          <w:i/>
          <w:iCs/>
        </w:rPr>
        <w:t>24</w:t>
      </w:r>
      <w:r>
        <w:rPr>
          <w:rFonts w:cs="Times New Roman"/>
        </w:rPr>
        <w:t>(3), 45-77. https://doi.org/10.2753/MIS0742-1222240302</w:t>
      </w:r>
    </w:p>
    <w:p w14:paraId="3D9D3D08" w14:textId="77777777" w:rsidR="00B46671" w:rsidRDefault="00000000">
      <w:pPr>
        <w:pStyle w:val="BodyText"/>
        <w:ind w:left="720" w:hanging="720"/>
      </w:pPr>
      <w:r>
        <w:rPr>
          <w:rFonts w:cs="Times New Roman"/>
        </w:rPr>
        <w:t xml:space="preserve">Usmani, M. T. (2002). </w:t>
      </w:r>
      <w:r>
        <w:rPr>
          <w:rFonts w:cs="Times New Roman"/>
          <w:i/>
          <w:iCs/>
        </w:rPr>
        <w:t>An introduction to Islamic finance</w:t>
      </w:r>
      <w:r>
        <w:rPr>
          <w:rFonts w:cs="Times New Roman"/>
        </w:rPr>
        <w:t>. Kluwer Law International.</w:t>
      </w:r>
    </w:p>
    <w:p w14:paraId="543B31E3" w14:textId="77777777" w:rsidR="00B46671" w:rsidRDefault="00000000">
      <w:pPr>
        <w:pStyle w:val="BodyText"/>
        <w:ind w:left="720" w:hanging="720"/>
      </w:pPr>
      <w:r>
        <w:rPr>
          <w:rFonts w:cs="Times New Roman"/>
        </w:rPr>
        <w:t xml:space="preserve">Yasmin, S., &amp; </w:t>
      </w:r>
      <w:proofErr w:type="spellStart"/>
      <w:r>
        <w:rPr>
          <w:rFonts w:cs="Times New Roman"/>
        </w:rPr>
        <w:t>Arshed</w:t>
      </w:r>
      <w:proofErr w:type="spellEnd"/>
      <w:r>
        <w:rPr>
          <w:rFonts w:cs="Times New Roman"/>
        </w:rPr>
        <w:t xml:space="preserve">, N. (2025). Can Islamic financing ease in monetary policy uncertainty: A proposal for Islamic monetary policy. </w:t>
      </w:r>
      <w:r>
        <w:rPr>
          <w:rFonts w:cs="Times New Roman"/>
          <w:i/>
          <w:iCs/>
        </w:rPr>
        <w:t>Journal of Islamic Banking, Economics and Policy</w:t>
      </w:r>
      <w:r>
        <w:rPr>
          <w:rFonts w:cs="Times New Roman"/>
        </w:rPr>
        <w:t xml:space="preserve">, </w:t>
      </w:r>
      <w:r>
        <w:rPr>
          <w:rFonts w:cs="Times New Roman"/>
          <w:i/>
          <w:iCs/>
        </w:rPr>
        <w:t>1</w:t>
      </w:r>
      <w:r>
        <w:rPr>
          <w:rFonts w:cs="Times New Roman"/>
        </w:rPr>
        <w:t>(2), 32-51.</w:t>
      </w:r>
      <w:bookmarkEnd w:id="0"/>
      <w:bookmarkEnd w:id="35"/>
    </w:p>
    <w:sectPr w:rsidR="00B4667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D40A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338B8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73226205">
    <w:abstractNumId w:val="0"/>
  </w:num>
  <w:num w:numId="2" w16cid:durableId="6226578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671"/>
    <w:rsid w:val="00347808"/>
    <w:rsid w:val="003F6F93"/>
    <w:rsid w:val="00B46671"/>
    <w:rsid w:val="00CF28C1"/>
    <w:rsid w:val="00F53C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94EC6"/>
  <w15:docId w15:val="{B769DC10-8288-4A4A-B4E2-68CCBA7EE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pPr>
    <w:rPr>
      <w:rFonts w:ascii="Times New Roman" w:hAnsi="Times New Roman"/>
      <w:sz w:val="22"/>
    </w:rPr>
  </w:style>
  <w:style w:type="paragraph" w:styleId="Heading1">
    <w:name w:val="heading 1"/>
    <w:basedOn w:val="Normal"/>
    <w:next w:val="BodyText"/>
    <w:link w:val="Heading1Char"/>
    <w:uiPriority w:val="9"/>
    <w:qFormat/>
    <w:rsid w:val="00A10FD9"/>
    <w:pPr>
      <w:keepNext/>
      <w:keepLines/>
      <w:spacing w:before="240"/>
      <w:jc w:val="center"/>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BodyText"/>
    <w:link w:val="Heading2Char"/>
    <w:uiPriority w:val="9"/>
    <w:semiHidden/>
    <w:unhideWhenUsed/>
    <w:qFormat/>
    <w:rsid w:val="00A10FD9"/>
    <w:pPr>
      <w:keepNext/>
      <w:keepLines/>
      <w:spacing w:before="240"/>
      <w:outlineLvl w:val="1"/>
    </w:pPr>
    <w:rPr>
      <w:rFonts w:asciiTheme="majorHAnsi" w:eastAsiaTheme="majorEastAsia" w:hAnsiTheme="majorHAnsi" w:cstheme="majorBidi"/>
      <w:b/>
      <w:color w:val="0F4761" w:themeColor="accent1" w:themeShade="BF"/>
      <w:sz w:val="26"/>
      <w:szCs w:val="32"/>
    </w:rPr>
  </w:style>
  <w:style w:type="paragraph" w:styleId="Heading3">
    <w:name w:val="heading 3"/>
    <w:basedOn w:val="Normal"/>
    <w:next w:val="BodyText"/>
    <w:link w:val="Heading3Char"/>
    <w:uiPriority w:val="9"/>
    <w:semiHidden/>
    <w:unhideWhenUsed/>
    <w:qFormat/>
    <w:rsid w:val="00A10FD9"/>
    <w:pPr>
      <w:keepNext/>
      <w:keepLines/>
      <w:spacing w:before="240"/>
      <w:outlineLvl w:val="2"/>
    </w:pPr>
    <w:rPr>
      <w:rFonts w:eastAsiaTheme="majorEastAsia" w:cstheme="majorBidi"/>
      <w:b/>
      <w:color w:val="0F4761" w:themeColor="accent1" w:themeShade="BF"/>
      <w:sz w:val="24"/>
      <w:szCs w:val="28"/>
    </w:rPr>
  </w:style>
  <w:style w:type="paragraph" w:styleId="Heading4">
    <w:name w:val="heading 4"/>
    <w:basedOn w:val="Normal"/>
    <w:next w:val="BodyText"/>
    <w:link w:val="Heading4Char"/>
    <w:uiPriority w:val="9"/>
    <w:semiHidden/>
    <w:unhideWhenUsed/>
    <w:qFormat/>
    <w:rsid w:val="00A10FD9"/>
    <w:pPr>
      <w:keepNext/>
      <w:keepLines/>
      <w:spacing w:before="240"/>
      <w:outlineLvl w:val="3"/>
    </w:pPr>
    <w:rPr>
      <w:rFonts w:eastAsiaTheme="majorEastAsia" w:cstheme="majorBidi"/>
      <w:b/>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22"/>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spacing w:val="15"/>
      <w:szCs w:val="28"/>
    </w:rPr>
  </w:style>
  <w:style w:type="character" w:customStyle="1" w:styleId="SubtitleChar">
    <w:name w:val="Subtitle Char"/>
    <w:basedOn w:val="DefaultParagraphFont"/>
    <w:link w:val="Subtitle"/>
    <w:uiPriority w:val="11"/>
    <w:rsid w:val="00A10FD9"/>
    <w:rPr>
      <w:rFonts w:ascii="Times New Roman" w:eastAsiaTheme="majorEastAsia" w:hAnsi="Times New Roman" w:cstheme="majorBidi"/>
      <w:color w:val="595959" w:themeColor="text1" w:themeTint="A6"/>
      <w:spacing w:val="15"/>
      <w:sz w:val="22"/>
      <w:szCs w:val="28"/>
    </w:rPr>
  </w:style>
  <w:style w:type="paragraph" w:customStyle="1" w:styleId="Author">
    <w:name w:val="Author"/>
    <w:basedOn w:val="Title"/>
    <w:next w:val="BodyText"/>
    <w:qFormat/>
    <w:pPr>
      <w:keepNext/>
      <w:keepLines/>
    </w:pPr>
    <w:rPr>
      <w:rFonts w:ascii="Times New Roman" w:hAnsi="Times New Roman"/>
      <w:szCs w:val="24"/>
    </w:rPr>
  </w:style>
  <w:style w:type="paragraph" w:styleId="Date">
    <w:name w:val="Date"/>
    <w:basedOn w:val="Title"/>
    <w:next w:val="BodyText"/>
    <w:qFormat/>
    <w:pPr>
      <w:keepNext/>
      <w:keepLines/>
    </w:pPr>
    <w:rPr>
      <w:rFonts w:ascii="Times New Roman" w:hAnsi="Times New Roman"/>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22"/>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22"/>
      <w:szCs w:val="32"/>
    </w:rPr>
  </w:style>
  <w:style w:type="character" w:customStyle="1" w:styleId="Heading3Char">
    <w:name w:val="Heading 3 Char"/>
    <w:basedOn w:val="DefaultParagraphFont"/>
    <w:link w:val="Heading3"/>
    <w:uiPriority w:val="9"/>
    <w:semiHidden/>
    <w:rsid w:val="00A10FD9"/>
    <w:rPr>
      <w:rFonts w:ascii="Times New Roman" w:eastAsiaTheme="majorEastAsia" w:hAnsi="Times New Roman" w:cstheme="majorBidi"/>
      <w:color w:val="0F4761" w:themeColor="accent1" w:themeShade="BF"/>
      <w:sz w:val="22"/>
      <w:szCs w:val="28"/>
    </w:rPr>
  </w:style>
  <w:style w:type="character" w:customStyle="1" w:styleId="Heading4Char">
    <w:name w:val="Heading 4 Char"/>
    <w:basedOn w:val="DefaultParagraphFont"/>
    <w:link w:val="Heading4"/>
    <w:uiPriority w:val="9"/>
    <w:semiHidden/>
    <w:rsid w:val="00A10FD9"/>
    <w:rPr>
      <w:rFonts w:ascii="Times New Roman" w:eastAsiaTheme="majorEastAsia" w:hAnsi="Times New Roman" w:cstheme="majorBidi"/>
      <w:i/>
      <w:iCs/>
      <w:color w:val="0F4761" w:themeColor="accent1" w:themeShade="BF"/>
      <w:sz w:val="22"/>
    </w:rPr>
  </w:style>
  <w:style w:type="character" w:customStyle="1" w:styleId="Heading5Char">
    <w:name w:val="Heading 5 Char"/>
    <w:basedOn w:val="DefaultParagraphFont"/>
    <w:link w:val="Heading5"/>
    <w:uiPriority w:val="9"/>
    <w:semiHidden/>
    <w:rsid w:val="00A10FD9"/>
    <w:rPr>
      <w:rFonts w:ascii="Times New Roman" w:eastAsiaTheme="majorEastAsia" w:hAnsi="Times New Roman" w:cstheme="majorBidi"/>
      <w:color w:val="0F4761" w:themeColor="accent1" w:themeShade="BF"/>
      <w:sz w:val="22"/>
    </w:rPr>
  </w:style>
  <w:style w:type="character" w:customStyle="1" w:styleId="Heading6Char">
    <w:name w:val="Heading 6 Char"/>
    <w:basedOn w:val="DefaultParagraphFont"/>
    <w:link w:val="Heading6"/>
    <w:uiPriority w:val="9"/>
    <w:semiHidden/>
    <w:rsid w:val="00A10FD9"/>
    <w:rPr>
      <w:rFonts w:ascii="Times New Roman" w:eastAsiaTheme="majorEastAsia" w:hAnsi="Times New Roman" w:cstheme="majorBidi"/>
      <w:i/>
      <w:iCs/>
      <w:color w:val="595959" w:themeColor="text1" w:themeTint="A6"/>
      <w:sz w:val="22"/>
    </w:rPr>
  </w:style>
  <w:style w:type="character" w:customStyle="1" w:styleId="Heading7Char">
    <w:name w:val="Heading 7 Char"/>
    <w:basedOn w:val="DefaultParagraphFont"/>
    <w:link w:val="Heading7"/>
    <w:uiPriority w:val="9"/>
    <w:semiHidden/>
    <w:rsid w:val="00A10FD9"/>
    <w:rPr>
      <w:rFonts w:ascii="Times New Roman" w:eastAsiaTheme="majorEastAsia" w:hAnsi="Times New Roman" w:cstheme="majorBidi"/>
      <w:color w:val="595959" w:themeColor="text1" w:themeTint="A6"/>
      <w:sz w:val="22"/>
    </w:rPr>
  </w:style>
  <w:style w:type="character" w:customStyle="1" w:styleId="Heading8Char">
    <w:name w:val="Heading 8 Char"/>
    <w:basedOn w:val="DefaultParagraphFont"/>
    <w:link w:val="Heading8"/>
    <w:uiPriority w:val="9"/>
    <w:semiHidden/>
    <w:rsid w:val="00A10FD9"/>
    <w:rPr>
      <w:rFonts w:ascii="Times New Roman" w:eastAsiaTheme="majorEastAsia" w:hAnsi="Times New Roman" w:cstheme="majorBidi"/>
      <w:i/>
      <w:iCs/>
      <w:color w:val="272727" w:themeColor="text1" w:themeTint="D8"/>
      <w:sz w:val="22"/>
    </w:rPr>
  </w:style>
  <w:style w:type="character" w:customStyle="1" w:styleId="Heading9Char">
    <w:name w:val="Heading 9 Char"/>
    <w:basedOn w:val="DefaultParagraphFont"/>
    <w:link w:val="Heading9"/>
    <w:uiPriority w:val="9"/>
    <w:semiHidden/>
    <w:rsid w:val="00A10FD9"/>
    <w:rPr>
      <w:rFonts w:ascii="Times New Roman" w:eastAsiaTheme="majorEastAsia" w:hAnsi="Times New Roman" w:cstheme="majorBidi"/>
      <w:color w:val="272727" w:themeColor="text1" w:themeTint="D8"/>
      <w:sz w:val="22"/>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pPr>
      <w:spacing w:line="360" w:lineRule="auto"/>
    </w:pPr>
    <w:rPr>
      <w:rFonts w:ascii="Times New Roman" w:hAnsi="Times New Roman"/>
      <w:sz w:val="22"/>
      <w:szCs w:val="20"/>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sz w:val="22"/>
    </w:rPr>
  </w:style>
  <w:style w:type="character" w:customStyle="1" w:styleId="VerbatimChar">
    <w:name w:val="Verbatim Char"/>
    <w:basedOn w:val="CaptionChar"/>
    <w:link w:val="SourceCode"/>
    <w:rPr>
      <w:rFonts w:ascii="Times New Roman" w:hAnsi="Times New Roman"/>
      <w:sz w:val="22"/>
    </w:rPr>
  </w:style>
  <w:style w:type="character" w:customStyle="1" w:styleId="SectionNumber">
    <w:name w:val="Section Number"/>
    <w:basedOn w:val="CaptionChar"/>
    <w:rPr>
      <w:rFonts w:ascii="Times New Roman" w:hAnsi="Times New Roman"/>
      <w:sz w:val="22"/>
    </w:rPr>
  </w:style>
  <w:style w:type="character" w:styleId="FootnoteReference">
    <w:name w:val="footnote reference"/>
    <w:basedOn w:val="CaptionChar"/>
    <w:rPr>
      <w:rFonts w:ascii="Times New Roman" w:hAnsi="Times New Roman"/>
      <w:sz w:val="22"/>
      <w:vertAlign w:val="superscript"/>
    </w:rPr>
  </w:style>
  <w:style w:type="character" w:styleId="Hyperlink">
    <w:name w:val="Hyperlink"/>
    <w:basedOn w:val="CaptionChar"/>
    <w:rPr>
      <w:rFonts w:ascii="Times New Roman" w:hAnsi="Times New Roman"/>
      <w:color w:val="156082" w:themeColor="accent1"/>
      <w:sz w:val="22"/>
    </w:rPr>
  </w:style>
  <w:style w:type="paragraph" w:styleId="TOCHeading">
    <w:name w:val="TOC Heading"/>
    <w:basedOn w:val="Heading1"/>
    <w:next w:val="BodyText"/>
    <w:uiPriority w:val="39"/>
    <w:unhideWhenUsed/>
    <w:qFormat/>
    <w:pPr>
      <w:outlineLvl w:val="9"/>
    </w:pPr>
    <w:rPr>
      <w:b w:val="0"/>
      <w:sz w:val="2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2"/>
    </w:rPr>
  </w:style>
  <w:style w:type="character" w:customStyle="1" w:styleId="DataTypeTok">
    <w:name w:val="DataTypeTok"/>
    <w:basedOn w:val="VerbatimChar"/>
    <w:rPr>
      <w:rFonts w:ascii="Times New Roman" w:hAnsi="Times New Roman"/>
      <w:color w:val="902000"/>
      <w:sz w:val="22"/>
    </w:rPr>
  </w:style>
  <w:style w:type="character" w:customStyle="1" w:styleId="DecValTok">
    <w:name w:val="DecValTok"/>
    <w:basedOn w:val="VerbatimChar"/>
    <w:rPr>
      <w:rFonts w:ascii="Times New Roman" w:hAnsi="Times New Roman"/>
      <w:color w:val="40A070"/>
      <w:sz w:val="22"/>
    </w:rPr>
  </w:style>
  <w:style w:type="character" w:customStyle="1" w:styleId="BaseNTok">
    <w:name w:val="BaseNTok"/>
    <w:basedOn w:val="VerbatimChar"/>
    <w:rPr>
      <w:rFonts w:ascii="Times New Roman" w:hAnsi="Times New Roman"/>
      <w:color w:val="40A070"/>
      <w:sz w:val="22"/>
    </w:rPr>
  </w:style>
  <w:style w:type="character" w:customStyle="1" w:styleId="FloatTok">
    <w:name w:val="FloatTok"/>
    <w:basedOn w:val="VerbatimChar"/>
    <w:rPr>
      <w:rFonts w:ascii="Times New Roman" w:hAnsi="Times New Roman"/>
      <w:color w:val="40A070"/>
      <w:sz w:val="22"/>
    </w:rPr>
  </w:style>
  <w:style w:type="character" w:customStyle="1" w:styleId="ConstantTok">
    <w:name w:val="ConstantTok"/>
    <w:basedOn w:val="VerbatimChar"/>
    <w:rPr>
      <w:rFonts w:ascii="Times New Roman" w:hAnsi="Times New Roman"/>
      <w:color w:val="880000"/>
      <w:sz w:val="22"/>
    </w:rPr>
  </w:style>
  <w:style w:type="character" w:customStyle="1" w:styleId="CharTok">
    <w:name w:val="CharTok"/>
    <w:basedOn w:val="VerbatimChar"/>
    <w:rPr>
      <w:rFonts w:ascii="Times New Roman" w:hAnsi="Times New Roman"/>
      <w:color w:val="4070A0"/>
      <w:sz w:val="22"/>
    </w:rPr>
  </w:style>
  <w:style w:type="character" w:customStyle="1" w:styleId="SpecialCharTok">
    <w:name w:val="SpecialCharTok"/>
    <w:basedOn w:val="VerbatimChar"/>
    <w:rPr>
      <w:rFonts w:ascii="Times New Roman" w:hAnsi="Times New Roman"/>
      <w:color w:val="4070A0"/>
      <w:sz w:val="22"/>
    </w:rPr>
  </w:style>
  <w:style w:type="character" w:customStyle="1" w:styleId="StringTok">
    <w:name w:val="StringTok"/>
    <w:basedOn w:val="VerbatimChar"/>
    <w:rPr>
      <w:rFonts w:ascii="Times New Roman" w:hAnsi="Times New Roman"/>
      <w:color w:val="4070A0"/>
      <w:sz w:val="22"/>
    </w:rPr>
  </w:style>
  <w:style w:type="character" w:customStyle="1" w:styleId="VerbatimStringTok">
    <w:name w:val="VerbatimStringTok"/>
    <w:basedOn w:val="VerbatimChar"/>
    <w:rPr>
      <w:rFonts w:ascii="Times New Roman" w:hAnsi="Times New Roman"/>
      <w:color w:val="4070A0"/>
      <w:sz w:val="22"/>
    </w:rPr>
  </w:style>
  <w:style w:type="character" w:customStyle="1" w:styleId="SpecialStringTok">
    <w:name w:val="SpecialStringTok"/>
    <w:basedOn w:val="VerbatimChar"/>
    <w:rPr>
      <w:rFonts w:ascii="Times New Roman" w:hAnsi="Times New Roman"/>
      <w:color w:val="BB6688"/>
      <w:sz w:val="22"/>
    </w:rPr>
  </w:style>
  <w:style w:type="character" w:customStyle="1" w:styleId="ImportTok">
    <w:name w:val="ImportTok"/>
    <w:basedOn w:val="VerbatimChar"/>
    <w:rPr>
      <w:rFonts w:ascii="Times New Roman" w:hAnsi="Times New Roman"/>
      <w:b/>
      <w:color w:val="008000"/>
      <w:sz w:val="22"/>
    </w:rPr>
  </w:style>
  <w:style w:type="character" w:customStyle="1" w:styleId="CommentTok">
    <w:name w:val="CommentTok"/>
    <w:basedOn w:val="VerbatimChar"/>
    <w:rPr>
      <w:rFonts w:ascii="Times New Roman" w:hAnsi="Times New Roman"/>
      <w:i/>
      <w:color w:val="60A0B0"/>
      <w:sz w:val="22"/>
    </w:rPr>
  </w:style>
  <w:style w:type="character" w:customStyle="1" w:styleId="DocumentationTok">
    <w:name w:val="DocumentationTok"/>
    <w:basedOn w:val="VerbatimChar"/>
    <w:rPr>
      <w:rFonts w:ascii="Times New Roman" w:hAnsi="Times New Roman"/>
      <w:i/>
      <w:color w:val="BA2121"/>
      <w:sz w:val="22"/>
    </w:rPr>
  </w:style>
  <w:style w:type="character" w:customStyle="1" w:styleId="AnnotationTok">
    <w:name w:val="AnnotationTok"/>
    <w:basedOn w:val="VerbatimChar"/>
    <w:rPr>
      <w:rFonts w:ascii="Times New Roman" w:hAnsi="Times New Roman"/>
      <w:b/>
      <w:i/>
      <w:color w:val="60A0B0"/>
      <w:sz w:val="22"/>
    </w:rPr>
  </w:style>
  <w:style w:type="character" w:customStyle="1" w:styleId="CommentVarTok">
    <w:name w:val="CommentVarTok"/>
    <w:basedOn w:val="VerbatimChar"/>
    <w:rPr>
      <w:rFonts w:ascii="Times New Roman" w:hAnsi="Times New Roman"/>
      <w:b/>
      <w:i/>
      <w:color w:val="60A0B0"/>
      <w:sz w:val="22"/>
    </w:rPr>
  </w:style>
  <w:style w:type="character" w:customStyle="1" w:styleId="OtherTok">
    <w:name w:val="OtherTok"/>
    <w:basedOn w:val="VerbatimChar"/>
    <w:rPr>
      <w:rFonts w:ascii="Times New Roman" w:hAnsi="Times New Roman"/>
      <w:color w:val="007020"/>
      <w:sz w:val="22"/>
    </w:rPr>
  </w:style>
  <w:style w:type="character" w:customStyle="1" w:styleId="FunctionTok">
    <w:name w:val="FunctionTok"/>
    <w:basedOn w:val="VerbatimChar"/>
    <w:rPr>
      <w:rFonts w:ascii="Times New Roman" w:hAnsi="Times New Roman"/>
      <w:color w:val="06287E"/>
      <w:sz w:val="22"/>
    </w:rPr>
  </w:style>
  <w:style w:type="character" w:customStyle="1" w:styleId="VariableTok">
    <w:name w:val="VariableTok"/>
    <w:basedOn w:val="VerbatimChar"/>
    <w:rPr>
      <w:rFonts w:ascii="Times New Roman" w:hAnsi="Times New Roman"/>
      <w:color w:val="19177C"/>
      <w:sz w:val="22"/>
    </w:rPr>
  </w:style>
  <w:style w:type="character" w:customStyle="1" w:styleId="ControlFlowTok">
    <w:name w:val="ControlFlowTok"/>
    <w:basedOn w:val="VerbatimChar"/>
    <w:rPr>
      <w:rFonts w:ascii="Times New Roman" w:hAnsi="Times New Roman"/>
      <w:b/>
      <w:color w:val="007020"/>
      <w:sz w:val="22"/>
    </w:rPr>
  </w:style>
  <w:style w:type="character" w:customStyle="1" w:styleId="OperatorTok">
    <w:name w:val="OperatorTok"/>
    <w:basedOn w:val="VerbatimChar"/>
    <w:rPr>
      <w:rFonts w:ascii="Times New Roman" w:hAnsi="Times New Roman"/>
      <w:color w:val="666666"/>
      <w:sz w:val="22"/>
    </w:rPr>
  </w:style>
  <w:style w:type="character" w:customStyle="1" w:styleId="BuiltInTok">
    <w:name w:val="BuiltInTok"/>
    <w:basedOn w:val="VerbatimChar"/>
    <w:rPr>
      <w:rFonts w:ascii="Times New Roman" w:hAnsi="Times New Roman"/>
      <w:color w:val="008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BC7A00"/>
      <w:sz w:val="22"/>
    </w:rPr>
  </w:style>
  <w:style w:type="character" w:customStyle="1" w:styleId="AttributeTok">
    <w:name w:val="AttributeTok"/>
    <w:basedOn w:val="VerbatimChar"/>
    <w:rPr>
      <w:rFonts w:ascii="Times New Roman" w:hAnsi="Times New Roman"/>
      <w:color w:val="7D9029"/>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60A0B0"/>
      <w:sz w:val="22"/>
    </w:rPr>
  </w:style>
  <w:style w:type="character" w:customStyle="1" w:styleId="WarningTok">
    <w:name w:val="WarningTok"/>
    <w:basedOn w:val="VerbatimChar"/>
    <w:rPr>
      <w:rFonts w:ascii="Times New Roman" w:hAnsi="Times New Roman"/>
      <w:b/>
      <w:i/>
      <w:color w:val="60A0B0"/>
      <w:sz w:val="22"/>
    </w:rPr>
  </w:style>
  <w:style w:type="character" w:customStyle="1" w:styleId="AlertTok">
    <w:name w:val="AlertTok"/>
    <w:basedOn w:val="VerbatimChar"/>
    <w:rPr>
      <w:rFonts w:ascii="Times New Roman" w:hAnsi="Times New Roman"/>
      <w:b/>
      <w:color w:val="FF0000"/>
      <w:sz w:val="22"/>
    </w:rPr>
  </w:style>
  <w:style w:type="character" w:customStyle="1" w:styleId="ErrorTok">
    <w:name w:val="ErrorTok"/>
    <w:basedOn w:val="VerbatimChar"/>
    <w:rPr>
      <w:rFonts w:ascii="Times New Roman" w:hAnsi="Times New Roman"/>
      <w:b/>
      <w:color w:val="FF0000"/>
      <w:sz w:val="22"/>
    </w:rPr>
  </w:style>
  <w:style w:type="character" w:customStyle="1" w:styleId="NormalTok">
    <w:name w:val="NormalTok"/>
    <w:basedOn w:val="VerbatimChar"/>
    <w:rPr>
      <w:rFonts w:ascii="Times New Roman" w:hAnsi="Times New Roman"/>
      <w:sz w:val="22"/>
    </w:rPr>
  </w:style>
  <w:style w:type="character" w:styleId="UnresolvedMention">
    <w:name w:val="Unresolved Mention"/>
    <w:basedOn w:val="DefaultParagraphFont"/>
    <w:uiPriority w:val="99"/>
    <w:semiHidden/>
    <w:unhideWhenUsed/>
    <w:rsid w:val="003478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xcoin.money/docs/the-universal-language-of-human-productiv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xcoin.money/the-protocol/what-is-gxcoin" TargetMode="External"/><Relationship Id="rId5" Type="http://schemas.openxmlformats.org/officeDocument/2006/relationships/hyperlink" Target="https://gxcoin.money/blog/The-Four-Foundational-Questions-of-Monetary-System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6581</Words>
  <Characters>37513</Characters>
  <Application>Microsoft Office Word</Application>
  <DocSecurity>0</DocSecurity>
  <Lines>312</Lines>
  <Paragraphs>88</Paragraphs>
  <ScaleCrop>false</ScaleCrop>
  <Company/>
  <LinksUpToDate>false</LinksUpToDate>
  <CharactersWithSpaces>44006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Azim Abdul Majeed</dc:creator>
  <cp:keywords/>
  <cp:lastModifiedBy>Azim Abdul Majeed</cp:lastModifiedBy>
  <cp:revision>2</cp:revision>
  <dcterms:created xsi:type="dcterms:W3CDTF">2026-04-24T08:15:00Z</dcterms:created>
  <dcterms:modified xsi:type="dcterms:W3CDTF">2026-04-24T08:15:00Z</dcterms:modified>
</cp:coreProperties>
</file>