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8181B"/>
          <w:sz w:val="56"/>
        </w:rPr>
        <w:t>The Post-GX Landscape</w:t>
      </w:r>
    </w:p>
    <w:p>
      <w:pPr>
        <w:jc w:val="center"/>
      </w:pPr>
      <w:r>
        <w:rPr>
          <w:i/>
          <w:color w:val="3F3F46"/>
          <w:sz w:val="28"/>
        </w:rPr>
        <w:t>How a Fixed-Supply, Interest-Free Monetary Protocol</w:t>
        <w:br/>
        <w:t>Will Reshape Economics, Finance, and Global Markets</w:t>
      </w:r>
    </w:p>
    <w:p/>
    <w:p>
      <w:pPr>
        <w:jc w:val="center"/>
      </w:pPr>
      <w:r>
        <w:rPr>
          <w:sz w:val="24"/>
        </w:rPr>
        <w:t>M Azim Abdul Majeed</w:t>
      </w:r>
    </w:p>
    <w:p>
      <w:pPr>
        <w:jc w:val="center"/>
      </w:pPr>
      <w:r>
        <w:rPr>
          <w:color w:val="71717A"/>
          <w:sz w:val="22"/>
        </w:rPr>
        <w:t>April 2026</w:t>
      </w:r>
    </w:p>
    <w:p/>
    <w:p>
      <w:pPr>
        <w:jc w:val="center"/>
      </w:pPr>
      <w:r>
        <w:rPr>
          <w:i/>
          <w:color w:val="71717A"/>
          <w:sz w:val="18"/>
        </w:rPr>
        <w:t>This paper examines the structural implications of a monetary architecture</w:t>
        <w:br/>
        <w:t>that has not yet launched. It is analytical, not promotional.</w:t>
        <w:br/>
        <w:t>Any errors of interpretation are mine. Any clarity is from Allah alone.</w:t>
      </w:r>
    </w:p>
    <w:p>
      <w:r>
        <w:br w:type="page"/>
      </w:r>
    </w:p>
    <w:p>
      <w:pPr>
        <w:pStyle w:val="Heading1"/>
      </w:pPr>
      <w:r>
        <w:t>Abstract</w:t>
      </w:r>
    </w:p>
    <w:p>
      <w:r>
        <w:t>The GX Coin Protocol, expected to launch in late 2026, introduces a monetary architecture that differs from both fiat currency systems and existing cryptocurrency networks at the structural level. Its total supply is permanently fixed at 1.25 trillion units. It distributes currency by grant through identity verification, not through purchase, mining, or debt issuance. It replaces interest with profit-sharing. It replaces inflation with a velocity mechanism that incentivises circulation over hoarding. It replaces correspondent banking with sub-second, near-zero-fee cross-border settlement on a single global unit of account.</w:t>
      </w:r>
    </w:p>
    <w:p>
      <w:r>
        <w:t>This paper does not evaluate whether GX will succeed commercially. It examines what changes in the study and practice of economics, finance, and monetary theory if its architecture operates as designed. The analysis proceeds through eight structural shifts: the end of monetary expansion as the default, the elimination of interest as the price of capital, the replacement of taxation with protocol-level fiscal collection, the collapse of cross-border friction, the architectural inclusion of the unbanked, the transformation of central banking, the restructuring of financial markets, and the implications for economic theory itself.</w:t>
      </w:r>
    </w:p>
    <w:p>
      <w:r>
        <w:t>Each section identifies what the current system assumes, what GX replaces it with, and what consequences follow for practitioners, policymakers, educators, and researchers. The paper is intended for economists, finance professionals, and academics who wish to understand the post-GX landscape before it arrives.</w:t>
      </w:r>
    </w:p>
    <w:p>
      <w:r>
        <w:br w:type="page"/>
      </w:r>
    </w:p>
    <w:p>
      <w:pPr>
        <w:pStyle w:val="Heading1"/>
      </w:pPr>
      <w:r>
        <w:t>1. The End of Monetary Expansion</w:t>
      </w:r>
    </w:p>
    <w:p>
      <w:r>
        <w:t>Every fiat currency in existence operates on the same foundational principle: the money supply expands. Central banks create base money. Commercial banks multiply it through fractional reserve lending. Governments issue debt denominated in a currency whose supply can always be increased to service that debt. The entire architecture depends on expansion. Without it, interest on existing debt cannot be paid, government obligations cannot be met, and the banking system, which lends more than it holds, cannot function.</w:t>
      </w:r>
    </w:p>
    <w:p>
      <w:r>
        <w:t>GX eliminates this foundation entirely. The total supply is 1.25 trillion units, set at genesis, immutable by protocol design. No central authority, no validator consensus, no governance vote can increase it. The supply does not expand to accommodate government spending, to bail out financial institutions, or to service debt. It is, in the most literal sense, fixed.</w:t>
      </w:r>
    </w:p>
    <w:p>
      <w:pPr>
        <w:pStyle w:val="Heading2"/>
      </w:pPr>
      <w:r>
        <w:t>What This Changes</w:t>
      </w:r>
    </w:p>
    <w:p>
      <w:r>
        <w:t>In a fixed-supply system, every unit of currency that exists today will exist tomorrow. Purchasing power is not eroded by monetary expansion. A teacher who saves GX 1,000 in 2027 holds the same proportion of total supply in 2047. The silent tax of inflation, which has eroded 45% of the US dollar's purchasing power since 2000 and 99.5% of the Turkish Lira's, does not apply.</w:t>
      </w:r>
    </w:p>
    <w:p>
      <w:r>
        <w:t>This has consequences that ripple outward. If money does not lose value over time, the entire rationale for interest-bearing savings accounts dissolves. If the supply cannot expand, governments cannot finance deficits through monetary creation. If inflation is zero by design, the central bank's primary policy tool, adjusting interest rates to manage inflation, becomes irrelevant within the GX-denominated economy.</w:t>
      </w:r>
    </w:p>
    <w:p>
      <w:pPr>
        <w:pStyle w:val="Heading2"/>
      </w:pPr>
      <w:r>
        <w:t>The Velocity Mechanism: Circulation Without Inflation</w:t>
      </w:r>
    </w:p>
    <w:p>
      <w:r>
        <w:t>Fixed supply creates a design problem: if money does not lose value, why would anyone spend it? The conventional answer is inflation, the deliberate erosion of purchasing power that forces money into circulation. GX replaces this with a velocity mechanism.</w:t>
      </w:r>
    </w:p>
    <w:p>
      <w:r>
        <w:t>Idle balances above GX 100 that remain unused for 360 consecutive days incur a charge of 3-6%, scaled by balance size. The charge applies only to surplus above the threshold. It does not apply during hardship. It does not apply to money that is being used. The collections are distributed automatically: 40% to the government treasury of the holder's jurisdiction, 30% to a charitable pool, and 30% to a universal basic income fund that tops up accounts below GX 24.</w:t>
      </w:r>
    </w:p>
    <w:p>
      <w:r>
        <w:t>This mechanism achieves what inflation achieves, keeping money circulating, without inflation's destructive side effect of eroding the purchasing power of everyone who holds the currency. The distinction is precise: inflation punishes all holders equally and invisibly. The velocity mechanism targets only idle surplus, visibly, with clear thresholds and a 360-day grace period.</w:t>
      </w:r>
    </w:p>
    <w:p>
      <w:pPr>
        <w:pStyle w:val="Heading1"/>
      </w:pPr>
      <w:r>
        <w:t>2. The Elimination of Interest</w:t>
      </w:r>
    </w:p>
    <w:p>
      <w:r>
        <w:t>Interest is the foundational mechanism of modern finance. It is the price of borrowing, the return on lending, the discount rate that values future cash flows, and the instrument through which central banks transmit monetary policy. Remove interest, and the entire architecture of modern finance must be rebuilt.</w:t>
      </w:r>
    </w:p>
    <w:p>
      <w:r>
        <w:t>GX removes interest entirely. Not through prohibition alone, as Islamic finance has attempted, but through structural design. The protocol's lending pool of GX 250 billion provides capital to Financial Service Partners on a profit-sharing basis. The FSP deploys the capital. If the deployment generates profit, it is shared: 60% to the protocol, 40% to the FSP (adjustable by commitment level). If the deployment fails after genuine effort, 50% of the principal is forgiven after 10 years. At no point does the principal grow through the passage of time. There is no interest rate. There is no compounding. The Dayn (outstanding obligation) is fixed.</w:t>
      </w:r>
    </w:p>
    <w:p>
      <w:pPr>
        <w:pStyle w:val="Heading2"/>
      </w:pPr>
      <w:r>
        <w:t>The Mathematical Impossibility That Disappears</w:t>
      </w:r>
    </w:p>
    <w:p>
      <w:r>
        <w:t>In a closed monetary system with total money supply M, if loans carry interest, total debt equals M plus the interest owed. Total debt therefore exceeds total money in existence. This is not theory. It is arithmetic. The only way to service this debt is to create new money (inflation), to default, or to extract wealth from others who hold money (redistribution from savers to debtors). Every fiat system resolves this impossibility through one or more of these mechanisms.</w:t>
      </w:r>
    </w:p>
    <w:p>
      <w:r>
        <w:t>In GX, total lending from the protocol pool can never exceed total supply, because the pool is a subset of the fixed supply. Profit-sharing returns are paid from actual profits generated by actual economic activity, not from the mathematical necessity of creating new money. The impossibility dissolves because the system does not create the conditions that produce it.</w:t>
      </w:r>
    </w:p>
    <w:p>
      <w:pPr>
        <w:pStyle w:val="Heading2"/>
      </w:pPr>
      <w:r>
        <w:t>What This Means for Financial Markets</w:t>
      </w:r>
    </w:p>
    <w:p>
      <w:r>
        <w:t>Without interest rates, the pricing of every financial instrument that depends on a discount rate must change. Bond markets, which price debt based on interest rate expectations, do not exist in their current form within a GX-denominated economy. Mortgage markets, which calculate monthly payments based on compound interest, do not apply. The entire derivatives market, much of which exists to hedge interest rate risk, loses its primary subject matter.</w:t>
      </w:r>
    </w:p>
    <w:p>
      <w:r>
        <w:t>What replaces them is equity and profit-sharing: genuine partnership where returns depend on productive outcomes rather than contractual guarantees. The GX economy is, by design, an equity economy. Capital is deployed, risk is shared, returns are earned. This is not a restriction on financial activity. It is a redirection: from debt-based extraction to equity-based participation.</w:t>
      </w:r>
    </w:p>
    <w:p>
      <w:pPr>
        <w:pStyle w:val="Heading1"/>
      </w:pPr>
      <w:r>
        <w:t>3. Protocol-Level Fiscal Collection</w:t>
      </w:r>
    </w:p>
    <w:p>
      <w:r>
        <w:t>Governments spend approximately USD 427 billion annually on tax collection and lose a comparable amount to evasion. The velocity mechanism eliminates both costs simultaneously.</w:t>
      </w:r>
    </w:p>
    <w:p>
      <w:r>
        <w:t>The 40% government share of velocity collections flows automatically to the treasury of the jurisdiction where the account holder is registered. No collection infrastructure is required. No filing is necessary. No evasion is possible, because the mechanism operates at the protocol level, not the institutional level. A government that onboards 200 million citizens in Phase 1 receives GX 16 billion (approximately USD 1.92 trillion at genesis rate) in direct allocation, plus ongoing automatic fiscal revenue from the velocity mechanism, plus the economic activity generated by 200 million people transacting in a zero-inflation, zero-interest monetary system.</w:t>
      </w:r>
    </w:p>
    <w:p>
      <w:r>
        <w:t>This changes the relationship between government and citizen. Income tax, which currently operates as a mandatory extraction before the citizen receives their earnings, is replaced by a mechanism that applies only to idle surplus after expenses are met. A citizen who earns and spends within the year pays only the transaction fee (0.05-0.40%). A citizen who accumulates surplus beyond GX 100 for over 360 days pays 3-6% on the surplus alone. The fiscal burden shifts from earned income to unproductive accumulation.</w:t>
      </w:r>
    </w:p>
    <w:p>
      <w:pPr>
        <w:pStyle w:val="Heading1"/>
      </w:pPr>
      <w:r>
        <w:t>4. The Collapse of Cross-Border Friction</w:t>
      </w:r>
    </w:p>
    <w:p>
      <w:r>
        <w:t>The global remittance market transfers approximately USD 700 billion annually, losing USD 48-53 billion to friction fees: correspondent banking charges, FX conversion spreads, intermediary margins, and compliance costs. A migrant worker sending USD 200 home pays an average of 7% in fees, USD 14 per transaction, USD 168 per year. In GX, the same transfer costs 0.25%: USD 0.50. Annual savings: USD 162 per worker.</w:t>
      </w:r>
    </w:p>
    <w:p>
      <w:r>
        <w:t>This is not incremental improvement. It is structural elimination. GX is a single global unit of account. A GX unit in Dubai is the same GX unit in Manila. There is no currency conversion because there is no currency pair. There is no correspondent banking because there is no banking intermediary. Settlement is sub-second, peer-to-peer, and final.</w:t>
      </w:r>
    </w:p>
    <w:p>
      <w:r>
        <w:t>Scale this across the 1.4 billion people who lack bank accounts, the 800 million who depend on remittances, and the small businesses across the Global South that cannot access cross-border payment infrastructure, and the macroeconomic implications become significant. Capital flows that were previously captured by intermediaries now reach recipients directly. Trade between developing nations that previously required dollar-denominated correspondent banking can settle in GX without touching the US financial system at all.</w:t>
      </w:r>
    </w:p>
    <w:p>
      <w:pPr>
        <w:pStyle w:val="Heading1"/>
      </w:pPr>
      <w:r>
        <w:t>5. Architectural Financial Inclusion</w:t>
      </w:r>
    </w:p>
    <w:p>
      <w:r>
        <w:t>The World Bank estimates 1.4 billion adults lack access to a bank account. The conventional approach to financial inclusion involves building banking infrastructure: branches, ATMs, regulatory frameworks, credit scoring systems, minimum balance requirements. This is expensive (USD 50-500 million per jurisdiction for CBDC alone), slow (3-7 years for deployment), and structurally exclusionary (it requires the unbanked to meet conditions designed for the already-banked).</w:t>
      </w:r>
    </w:p>
    <w:p>
      <w:r>
        <w:t>GX requires one thing: verified identity. A biometric KYC process confirms that you are a unique, living person. Upon verification, you receive a GX allocation by grant. Not a loan. Not a conditional transfer. A direct allocation of monetary units into an account you control. No bank account is needed. No credit score is consulted. No minimum balance is required. No prior financial history is examined.</w:t>
      </w:r>
    </w:p>
    <w:p>
      <w:r>
        <w:t>This inverts the conventional sequence. The standard model: build financial infrastructure, then include people. The GX model: distribute money to people, then financial activity emerges. The market does not precede inclusion. Inclusion precedes the market.</w:t>
      </w:r>
    </w:p>
    <w:p>
      <w:pPr>
        <w:pStyle w:val="Heading1"/>
      </w:pPr>
      <w:r>
        <w:t>6. The Transformation of Central Banking</w:t>
      </w:r>
    </w:p>
    <w:p>
      <w:r>
        <w:t>Central banks currently perform three primary functions: they issue currency, they set monetary policy (primarily through interest rates), and they regulate the banking system. In a GX-denominated economy, all three functions change.</w:t>
      </w:r>
    </w:p>
    <w:p>
      <w:r>
        <w:t>Currency issuance is handled by the protocol at genesis. No ongoing issuance is possible. Monetary policy through interest rates is irrelevant because interest does not exist in the system. The velocity mechanism provides counter-cyclical adjustment (rates decrease when circulation is high, increase when it is low), but this is automatic, not discretionary. Banking regulation changes because the banking system itself changes: FSPs operating under profit-sharing do not create money through fractional reserve lending, and identity-based accounts do not require the deposit insurance infrastructure that supports conventional banking.</w:t>
      </w:r>
    </w:p>
    <w:p>
      <w:r>
        <w:t>This does not mean central banks become irrelevant. It means their role transforms from active monetary management to oversight of a protocol-governed system. They become participants in the monetary architecture rather than its sole architects. The GX whitepaper explicitly positions the protocol as complementary to national currencies, not as a replacement. But the competitive pressure is real: if citizens can hold a zero-inflation currency alongside their national currency, the demand for monetary discipline on the national currency increases.</w:t>
      </w:r>
    </w:p>
    <w:p>
      <w:pPr>
        <w:pStyle w:val="Heading1"/>
      </w:pPr>
      <w:r>
        <w:t>7. The Restructuring of Financial Markets</w:t>
      </w:r>
    </w:p>
    <w:p>
      <w:r>
        <w:t>Financial markets as currently structured are built on three pillars: debt instruments (bonds, loans, mortgages), equity instruments (stocks, funds), and derivatives (options, futures, swaps). GX's architecture affects all three.</w:t>
      </w:r>
    </w:p>
    <w:p>
      <w:pPr>
        <w:pStyle w:val="Heading3"/>
      </w:pPr>
      <w:r>
        <w:t>Debt Markets</w:t>
      </w:r>
    </w:p>
    <w:p>
      <w:r>
        <w:t>Interest-bearing debt does not exist in a GX economy. Bond markets, which price sovereign and corporate debt based on interest rates and credit risk, lose their foundational pricing mechanism. What replaces them is Sukuk-like profit-sharing instruments: capital is provided, deployed into productive activity, and returns are shared based on actual performance. The secondary market for these instruments would price them based on the productivity of the underlying activity, not on interest rate expectations.</w:t>
      </w:r>
    </w:p>
    <w:p>
      <w:pPr>
        <w:pStyle w:val="Heading3"/>
      </w:pPr>
      <w:r>
        <w:t>Equity Markets</w:t>
      </w:r>
    </w:p>
    <w:p>
      <w:r>
        <w:t>Equity markets are the least disrupted, because equity already operates on the principle GX enforces: you invest capital, bear risk, and earn returns from genuine economic activity. However, the elimination of leveraged trading (which depends on borrowed money at interest) and the absence of interest-rate-driven valuation models (DCF analysis uses a discount rate derived from interest rates) would change how equities are valued. Valuation would centre on actual earnings and productive capacity rather than on discounted future cash flows adjusted for a risk-free rate that no longer exists.</w:t>
      </w:r>
    </w:p>
    <w:p>
      <w:pPr>
        <w:pStyle w:val="Heading3"/>
      </w:pPr>
      <w:r>
        <w:t>Derivatives Markets</w:t>
      </w:r>
    </w:p>
    <w:p>
      <w:r>
        <w:t>The derivatives market, valued at over USD 600 trillion in notional terms, exists primarily to hedge risks created by the current system: interest rate risk, currency risk, and credit risk. In a GX economy, interest rate risk disappears (no interest rates). Currency risk diminishes (single global unit of account for GX-denominated activity). Credit risk transforms (profit-sharing replaces guaranteed returns; default risk is managed through identity, guarantors, and protocol-level enforcement). Derivatives would not disappear entirely, commodity futures and genuine hedging instruments serve productive functions, but the vast speculative derivatives market built on interest rate and currency movements would contract significantly.</w:t>
      </w:r>
    </w:p>
    <w:p>
      <w:pPr>
        <w:pStyle w:val="Heading1"/>
      </w:pPr>
      <w:r>
        <w:t>8. Implications for Economic Theory</w:t>
      </w:r>
    </w:p>
    <w:p>
      <w:r>
        <w:t>If GX operates as designed, several foundational assumptions of economic theory require re-examination.</w:t>
      </w:r>
    </w:p>
    <w:p>
      <w:pPr>
        <w:pStyle w:val="Heading3"/>
      </w:pPr>
      <w:r>
        <w:t>The Quantity Theory of Money</w:t>
      </w:r>
    </w:p>
    <w:p>
      <w:r>
        <w:t>MV = PQ assumes that changes in money supply (M) and velocity (V) drive changes in price level (P) and output (Q). In GX, M is fixed. V is managed by the velocity mechanism. The equation still holds, but the variables are constrained in ways that conventional monetary policy does not contemplate. Price stability becomes a function of real output growth and velocity management, not of central bank discretion.</w:t>
      </w:r>
    </w:p>
    <w:p>
      <w:pPr>
        <w:pStyle w:val="Heading3"/>
      </w:pPr>
      <w:r>
        <w:t>The Time Value of Money</w:t>
      </w:r>
    </w:p>
    <w:p>
      <w:r>
        <w:t>The principle that a dollar today is worth more than a dollar tomorrow is built on two assumptions: inflation erodes future purchasing power, and interest allows present money to grow. In GX, neither assumption holds. Purchasing power is stable (no inflation). Money does not grow through interest (no interest). The time value of money in a GX economy is determined solely by the opportunity cost of productive deployment, not by the institutional guarantee of a risk-free rate. This does not eliminate time preference. It eliminates the institutional mechanism that monetises time preference through guaranteed returns.</w:t>
      </w:r>
    </w:p>
    <w:p>
      <w:pPr>
        <w:pStyle w:val="Heading3"/>
      </w:pPr>
      <w:r>
        <w:t>Keynesian Demand Management</w:t>
      </w:r>
    </w:p>
    <w:p>
      <w:r>
        <w:t>Keynesian economics prescribes government spending financed by debt (deficit spending) during recessions, repaid during expansions. This depends on the ability to create money to finance deficits. In a GX economy, governments cannot deficit-spend by expanding the money supply. Fiscal policy operates through the velocity mechanism (automatic, counter-cyclical) and through the direct allocation received at genesis. Demand management shifts from discretionary spending to structural design: the UBI floor (GX 24 minimum) provides automatic demand stabilisation without policy intervention.</w:t>
      </w:r>
    </w:p>
    <w:p>
      <w:pPr>
        <w:pStyle w:val="Heading3"/>
      </w:pPr>
      <w:r>
        <w:t>The Phillips Curve</w:t>
      </w:r>
    </w:p>
    <w:p>
      <w:r>
        <w:t>The trade-off between inflation and unemployment assumes that monetary expansion can reduce unemployment at the cost of inflation. In GX, monetary expansion is impossible. Employment is driven by productive economic activity funded through profit-sharing, not by monetary stimulus. The Phillips Curve trade-off does not apply within a fixed-supply system, because the mechanism it describes (printing money to stimulate demand) does not exist.</w:t>
      </w:r>
    </w:p>
    <w:p>
      <w:pPr>
        <w:pStyle w:val="Heading1"/>
      </w:pPr>
      <w:r>
        <w:t>9. The Transition Period: Coexistence, Not Replacement</w:t>
      </w:r>
    </w:p>
    <w:p>
      <w:r>
        <w:t>GX is designed to operate alongside existing national currencies, not to replace them. The transition period, during which GX and fiat systems coexist, will be characterised by arbitrage opportunities, competitive pressure on national monetary policy, and gradual migration of cross-border activity onto the GX protocol.</w:t>
      </w:r>
    </w:p>
    <w:p>
      <w:r>
        <w:t>The critical variable is adoption. GX's economic model depends on network effects: the more participants transact in GX, the more useful the currency becomes, the more fiscal revenue governments receive, the more capital the lending pool can deploy. India's UPI system went from zero to processing more daily transactions than Visa in under eight years. Brazil's PIX reached 276 million daily transactions in under five years. When the infrastructure is right and the incentive is clear, adoption can be rapid.</w:t>
      </w:r>
    </w:p>
    <w:p>
      <w:r>
        <w:t>The question for economists, policymakers, and finance professionals is not whether a post-GX landscape is possible. It is whether they are prepared for it. The architecture exists. The protocol is built. The launch is months away. What follows will be determined by how quickly the world's institutions adapt to a monetary system that does not need their permission to operate.</w:t>
      </w:r>
    </w:p>
    <w:p>
      <w:pPr>
        <w:pStyle w:val="Heading1"/>
      </w:pPr>
      <w:r>
        <w:t>Closing Statement</w:t>
      </w:r>
    </w:p>
    <w:p>
      <w:r>
        <w:t>This paper has examined the structural implications of a monetary architecture that eliminates inflation, interest, and cross-border friction by design. It has traced the consequences through fiscal policy, financial markets, central banking, economic theory, and financial inclusion. It has not argued that GX will succeed. It has argued that if it operates as designed, the changes it produces are not incremental but foundational.</w:t>
      </w:r>
    </w:p>
    <w:p>
      <w:r>
        <w:t>The economics profession, the finance industry, and the institutions that govern global monetary policy have an opportunity to engage with this architecture before it launches, to stress-test its claims, to identify its weaknesses, and to prepare for its implications. The alternative is to encounter it after launch, when the competitive pressure is no longer theoretical.</w:t>
      </w:r>
    </w:p>
    <w:p>
      <w:r>
        <w:rPr>
          <w:i/>
        </w:rPr>
        <w:t>Any errors of interpretation are mine. Any clarity is from Allah alone.</w:t>
      </w:r>
    </w:p>
    <w:p>
      <w:r>
        <w:rPr>
          <w:i/>
        </w:rPr>
        <w:t>And Allah knows best.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color w:val="1818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Georgia" w:hAnsi="Georgia"/>
      <w:b/>
      <w:bCs/>
      <w:color w:val="18181B"/>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8181B"/>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Georgia" w:hAnsi="Georgia"/>
      <w:b/>
      <w:bCs/>
      <w:color w:val="18181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