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Душаев</w:t>
      </w:r>
      <w:r>
        <w:t xml:space="preserve"> </w:t>
      </w:r>
      <w:r>
        <w:t xml:space="preserve">Азимбек</w:t>
      </w:r>
      <w:r>
        <w:t xml:space="preserve"> </w:t>
      </w:r>
      <w:r>
        <w:t xml:space="preserve">Юсуфович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96894"/>
            <wp:effectExtent b="0" l="0" r="0" t="0"/>
            <wp:docPr descr="Figure 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6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994170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292148"/>
            <wp:effectExtent b="0" l="0" r="0" t="0"/>
            <wp:docPr descr="Figure 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94000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590799"/>
            <wp:effectExtent b="0" l="0" r="0" t="0"/>
            <wp:docPr descr="Figure 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30803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586181"/>
            <wp:effectExtent b="0" l="0" r="0" t="0"/>
            <wp:docPr descr="Figure 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55410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622101"/>
            <wp:effectExtent b="0" l="0" r="0" t="0"/>
            <wp:docPr descr="Figure 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889294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13314"/>
            <wp:effectExtent b="0" l="0" r="0" t="0"/>
            <wp:docPr descr="Figure 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3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244600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5574832"/>
            <wp:effectExtent b="0" l="0" r="0" t="0"/>
            <wp:docPr descr="Figure 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4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224529"/>
            <wp:effectExtent b="0" l="0" r="0" t="0"/>
            <wp:docPr descr="Figure 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5620870"/>
            <wp:effectExtent b="0" l="0" r="0" t="0"/>
            <wp:docPr descr="Figure 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339589"/>
            <wp:effectExtent b="0" l="0" r="0" t="0"/>
            <wp:docPr descr="Figure 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 с помощью строки mov eax, rem.</w:t>
      </w:r>
      <w:r>
        <w:t xml:space="preserve"> </w:t>
      </w:r>
      <w:r>
        <w:t xml:space="preserve">Вызывается подпрограмма sprint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Инструкция mov ecx, x перемещает значение переменной X в регистр ecx.</w:t>
      </w:r>
    </w:p>
    <w:p>
      <w:pPr>
        <w:pStyle w:val="BodyText"/>
      </w:pPr>
      <w:r>
        <w:t xml:space="preserve">Инструкция mov edx, 80 устанавливает значение 80 в регистр edx.</w:t>
      </w:r>
    </w:p>
    <w:p>
      <w:pPr>
        <w:pStyle w:val="BodyText"/>
      </w:pPr>
      <w:r>
        <w:t xml:space="preserve">Инструкция call sread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call atoi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Инструкция xor edx, edx обнуляет регистр edx.</w:t>
      </w:r>
    </w:p>
    <w:p>
      <w:pPr>
        <w:pStyle w:val="BodyText"/>
      </w:pPr>
      <w:r>
        <w:t xml:space="preserve">Инструкция mov ebx, 20 устанавливает значение 20 в регистр ebx.</w:t>
      </w:r>
    </w:p>
    <w:p>
      <w:pPr>
        <w:pStyle w:val="BodyText"/>
      </w:pPr>
      <w:r>
        <w:t xml:space="preserve">Инструкция div ebx выполняет деление номера студенческого билета на 20.</w:t>
      </w:r>
    </w:p>
    <w:p>
      <w:pPr>
        <w:pStyle w:val="BodyTex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используется для увеличения значения</w:t>
      </w:r>
      <w:r>
        <w:t xml:space="preserve"> </w:t>
      </w:r>
      <w:r>
        <w:t xml:space="preserve">регистра edx на 1. В данном случае, она используется для</w:t>
      </w:r>
      <w:r>
        <w:t xml:space="preserve"> </w:t>
      </w:r>
      <w:r>
        <w:t xml:space="preserve">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Результат вычислений перекладывается в регистр eax с помощью строки mov eax, edx.</w:t>
      </w:r>
      <w:r>
        <w:t xml:space="preserve"> </w:t>
      </w:r>
      <w:r>
        <w:t xml:space="preserve">Вызывается подпрограмма iprintLF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20 - $x^3 / 3 + 21 $ 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3</m:t>
        </m:r>
      </m:oMath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5642428"/>
            <wp:effectExtent b="0" l="0" r="0" t="0"/>
            <wp:docPr descr="Figure 17: Программа calc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Программа calc.asm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1786081"/>
            <wp:effectExtent b="0" l="0" r="0" t="0"/>
            <wp:docPr descr="Figure 18: Запуск программы calc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calc.asm</w:t>
      </w:r>
    </w:p>
    <w:bookmarkEnd w:id="0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Душаев Азимбек Юсуфович НКАбд-02-23</dc:creator>
  <dc:language>ru-RU</dc:language>
  <cp:keywords/>
  <dcterms:created xsi:type="dcterms:W3CDTF">2023-11-16T08:33:32Z</dcterms:created>
  <dcterms:modified xsi:type="dcterms:W3CDTF">2023-11-16T08:33:32Z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