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Why FNB Should Retain FNB-ETAF Rather Than Fully Replace It with TestMu AI</w:t>
      </w:r>
    </w:p>
    <w:p>
      <w:pPr>
        <w:pStyle w:val="MdParagraph"/>
      </w:pPr>
      <w:r>
        <w:rPr>
          <w:rStyle w:val="MdStrong"/>
          <w:b/>
          <w:bCs/>
        </w:rPr>
        <w:t xml:space="preserve">Prepared for:</w:t>
      </w:r>
      <w:r>
        <w:t xml:space="preserve"> FNB automation, engineering, and architecture stakeholders</w:t>
      </w:r>
      <w:r>
        <w:rPr>
          <w:rStyle w:val="MdBr"/>
        </w:rPr>
        <w:br/>
        <w:t xml:space="preserve"/>
      </w:r>
      <w:r>
        <w:rPr>
          <w:rStyle w:val="MdStrong"/>
          <w:b/>
          <w:bCs/>
        </w:rPr>
        <w:t xml:space="preserve">Date:</w:t>
      </w:r>
      <w:r>
        <w:t xml:space="preserve"> 15 October 2026</w:t>
      </w:r>
      <w:r>
        <w:rPr>
          <w:rStyle w:val="MdBr"/>
        </w:rPr>
        <w:br/>
        <w:t xml:space="preserve"/>
      </w:r>
      <w:r>
        <w:rPr>
          <w:rStyle w:val="MdStrong"/>
          <w:b/>
          <w:bCs/>
        </w:rPr>
        <w:t xml:space="preserve">Author:</w:t>
      </w:r>
      <w:r>
        <w:t xml:space="preserve"> Manus AI</w:t>
      </w:r>
    </w:p>
    <w:p>
      <w:pPr>
        <w:pStyle w:val="MdSpace"/>
        <w:spacing w:before="0" w:after="60"/>
      </w:pPr>
    </w:p>
    <w:p>
      <w:pPr>
        <w:pStyle w:val="Heading2"/>
        <w:pStyle w:val="MdHeading2"/>
      </w:pPr>
      <w:r>
        <w:t xml:space="preserve">Position</w:t>
      </w:r>
    </w:p>
    <w:p>
      <w:pPr>
        <w:pStyle w:val="MdParagraph"/>
      </w:pPr>
      <w:r>
        <w:t xml:space="preserve">FNB should </w:t>
      </w:r>
      <w:r>
        <w:rPr>
          <w:rStyle w:val="MdStrong"/>
          <w:b/>
          <w:bCs/>
        </w:rPr>
        <w:t xml:space="preserve">retain FNB-ETAF as its strategic automation framework</w:t>
      </w:r>
      <w:r>
        <w:t xml:space="preserve"> and should </w:t>
      </w:r>
      <w:r>
        <w:rPr>
          <w:rStyle w:val="MdStrong"/>
          <w:b/>
          <w:bCs/>
        </w:rPr>
        <w:t xml:space="preserve">not approve a full replacement with TestMu AI</w:t>
      </w:r>
      <w:r>
        <w:t xml:space="preserve"> without a formal technical, security, reporting, and commercial proof of value.</w:t>
      </w:r>
    </w:p>
    <w:p>
      <w:pPr>
        <w:pStyle w:val="MdSpace"/>
        <w:spacing w:before="0" w:after="60"/>
      </w:pPr>
    </w:p>
    <w:p>
      <w:pPr>
        <w:pStyle w:val="MdParagraph"/>
      </w:pPr>
      <w:r>
        <w:t xml:space="preserve">This position does not claim that TestMu AI is a weak platform. TestMu AI has meaningful strengths in managed cloud browser coverage, real devices, centralized analytics, hosted execution, and AI-assisted test intelligence. </w:t>
      </w:r>
      <w:hyperlink w:history="1" r:id="rIdz_wzodszwdj3m1b2ucphx">
        <w:r>
          <w:rPr>
            <w:rStyle w:val="MdLink"/>
          </w:rPr>
          <w:t xml:space="preserve">1</w:t>
        </w:r>
      </w:hyperlink>
      <w:r>
        <w:t xml:space="preserve"> </w:t>
      </w:r>
      <w:hyperlink w:history="1" r:id="rIdhc22bzsokzrejrd4m4zyp">
        <w:r>
          <w:rPr>
            <w:rStyle w:val="MdLink"/>
          </w:rPr>
          <w:t xml:space="preserve">2</w:t>
        </w:r>
      </w:hyperlink>
    </w:p>
    <w:p>
      <w:pPr>
        <w:pStyle w:val="MdSpace"/>
        <w:spacing w:before="0" w:after="60"/>
      </w:pPr>
    </w:p>
    <w:p>
      <w:pPr>
        <w:pStyle w:val="MdParagraph"/>
      </w:pPr>
      <w:r>
        <w:t xml:space="preserve">The key point is different: </w:t>
      </w:r>
      <w:r>
        <w:rPr>
          <w:rStyle w:val="MdStrong"/>
          <w:b/>
          <w:bCs/>
        </w:rPr>
        <w:t xml:space="preserve">TestMu AI is not a like-for-like substitute for FNB-ETAF.</w:t>
      </w:r>
      <w:r>
        <w:t xml:space="preserve"> FNB-ETAF is a company-owned Java automation framework that already embeds FNB-specific execution behavior, Cucumber vocabulary, YAML conventions, test data handling, report formats, evidence handling, and cross-module integrations. TestMu AI is a vendor-hosted testing platform. Replacing the framework would either discard existing capability or require a migration program to rebuild and prove that capability. </w:t>
      </w:r>
      <w:hyperlink w:history="1" r:id="rIdidun2j2tcmqde1qca4urr">
        <w:r>
          <w:rPr>
            <w:rStyle w:val="MdLink"/>
          </w:rPr>
          <w:t xml:space="preserve">3</w:t>
        </w:r>
      </w:hyperlink>
    </w:p>
    <w:p>
      <w:pPr>
        <w:pStyle w:val="MdSpace"/>
        <w:spacing w:before="0" w:after="60"/>
      </w:pPr>
    </w:p>
    <w:p>
      <w:pPr>
        <w:pStyle w:val="MdParagraph"/>
      </w:pPr>
      <w:r>
        <w:t xml:space="preserve">The recommended decision is therefore </w:t>
      </w:r>
      <w:r>
        <w:rPr>
          <w:rStyle w:val="MdStrong"/>
          <w:b/>
          <w:bCs/>
        </w:rPr>
        <w:t xml:space="preserve">retain FNB-ETAF as the core and, if needed, evaluate TestMu AI as an optional managed execution platform.</w:t>
      </w:r>
      <w:r>
        <w:t xml:space="preserve"> This approach protects the investment already made while allowing FNB to evaluate cloud browser and device coverage where it provides clear value.</w:t>
      </w:r>
    </w:p>
    <w:p>
      <w:pPr>
        <w:pStyle w:val="MdSpace"/>
        <w:spacing w:before="0" w:after="60"/>
      </w:pPr>
    </w:p>
    <w:p>
      <w:pPr>
        <w:pStyle w:val="Heading2"/>
        <w:pStyle w:val="MdHeading2"/>
      </w:pPr>
      <w:r>
        <w:t xml:space="preserve">The core business argument</w:t>
      </w:r>
    </w:p>
    <w:p>
      <w:pPr>
        <w:pStyle w:val="MdParagraph"/>
      </w:pPr>
      <w:r>
        <w:t xml:space="preserve">FNB-ETAF is more than a UI automation tool. It is a reusable enterprise automation asset owned by FNB. The current framework covers standard Playwright web UI automation, API testing, database validation, native mobile and mobile-browser automation, CSV/XML/TXT/ZIP file validation, PDF validation, API performance testing through JMeter DSL, and a separate concurrent-browser </w:t>
      </w:r>
      <w:r>
        <w:rPr>
          <w:rStyle w:val="MdCode"/>
          <w:u w:val="single"/>
        </w:rPr>
        <w:t xml:space="preserve">ui_performance</w:t>
      </w:r>
      <w:r>
        <w:t xml:space="preserve"> path. It also has custom reporting and evidence behavior for screenshots, downloads, feature-based video files, Cucumber results, Extent output, per-feature HTML/PDF output, and performance artifacts. </w:t>
      </w:r>
      <w:hyperlink w:history="1" r:id="rIdzisgs5rtsbtym0ho8g1a5">
        <w:r>
          <w:rPr>
            <w:rStyle w:val="MdLink"/>
          </w:rPr>
          <w:t xml:space="preserve">3</w:t>
        </w:r>
      </w:hyperlink>
    </w:p>
    <w:p>
      <w:pPr>
        <w:pStyle w:val="MdSpace"/>
        <w:spacing w:before="0" w:after="60"/>
      </w:pPr>
    </w:p>
    <w:p>
      <w:pPr>
        <w:pStyle w:val="MdParagraph"/>
      </w:pPr>
      <w:r>
        <w:t xml:space="preserve">A complete move to TestMu AI would not automatically preserve these functions. It would move the company toward a vendor-operated execution and reporting layer while leaving the team to decide which existing custom features are retained, rewritten, retired, or run through a second tool. The company should not call that a “migration” until every required feature has been proven to have an equivalent, supported, secure, and maintainable replacement.</w:t>
      </w:r>
    </w:p>
    <w:p>
      <w:pPr>
        <w:pStyle w:val="MdSpace"/>
        <w:spacing w:before="0" w:after="60"/>
      </w:pPr>
    </w:p>
    <w:p>
      <w:pPr>
        <w:pStyle w:val="MdParagraph"/>
      </w:pPr>
      <w:r>
        <w:t xml:space="preserve">The right question is not, “Is TestMu AI good?” The right question is, </w:t>
      </w:r>
      <w:r>
        <w:rPr>
          <w:rStyle w:val="MdStrong"/>
          <w:b/>
          <w:bCs/>
        </w:rPr>
        <w:t xml:space="preserve">“What does FNB gain that it cannot add to FNB-ETAF, and what will it lose or need to rebuild if it replaces FNB-ETAF?”</w:t>
      </w:r>
    </w:p>
    <w:p>
      <w:pPr>
        <w:pStyle w:val="MdSpace"/>
        <w:spacing w:before="0" w:after="60"/>
      </w:pPr>
    </w:p>
    <w:p>
      <w:pPr>
        <w:pStyle w:val="Heading2"/>
        <w:pStyle w:val="MdHeading2"/>
      </w:pPr>
      <w:r>
        <w:t xml:space="preserve">Comparison: where FNB-ETAF is stronger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Mar>
              <w:top w:type="dxa" w:w="100"/>
              <w:left w:type="dxa" w:w="120"/>
              <w:bottom w:type="dxa" w:w="100"/>
              <w:right w:type="dxa" w:w="120"/>
            </w:tcMar>
            <w:vAlign w:val="center"/>
          </w:tcPr>
          <w:p>
            <w:pPr>
              <w:pStyle w:val="MdTableHeader"/>
            </w:pPr>
            <w:r>
              <w:t xml:space="preserve">Why FNB-ETAF is stronger for FNB</w:t>
            </w:r>
          </w:p>
        </w:tc>
        <w:tc>
          <w:tcPr>
            <w:tcBorders>
              <w:right w:val="none"/>
            </w:tcBorders>
            <w:tcMar>
              <w:top w:type="dxa" w:w="100"/>
              <w:left w:type="dxa" w:w="120"/>
              <w:bottom w:type="dxa" w:w="100"/>
              <w:right w:type="dxa" w:w="120"/>
            </w:tcMar>
            <w:vAlign w:val="center"/>
          </w:tcPr>
          <w:p>
            <w:pPr>
              <w:pStyle w:val="MdTableHeader"/>
            </w:pPr>
            <w:r>
              <w:t xml:space="preserve">Risk of a full TestMu AI replacement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Framework ownership</w:t>
            </w:r>
          </w:p>
        </w:tc>
        <w:tc>
          <w:tcPr>
            <w:tcMar>
              <w:top w:type="dxa" w:w="80"/>
              <w:left w:type="dxa" w:w="120"/>
              <w:bottom w:type="dxa" w:w="80"/>
              <w:right w:type="dxa" w:w="120"/>
            </w:tcMar>
            <w:vAlign w:val="center"/>
          </w:tcPr>
          <w:p>
            <w:pPr>
              <w:pStyle w:val="MdTableCell"/>
            </w:pPr>
            <w:r>
              <w:t xml:space="preserve">FNB controls the Java source, Cucumber steps, business methods, YAML structure, execution rules, evidence logic, and release decisions.</w:t>
            </w:r>
          </w:p>
        </w:tc>
        <w:tc>
          <w:tcPr>
            <w:tcBorders>
              <w:right w:val="none"/>
            </w:tcBorders>
            <w:tcMar>
              <w:top w:type="dxa" w:w="80"/>
              <w:left w:type="dxa" w:w="120"/>
              <w:bottom w:type="dxa" w:w="80"/>
              <w:right w:type="dxa" w:w="120"/>
            </w:tcMar>
            <w:vAlign w:val="center"/>
          </w:tcPr>
          <w:p>
            <w:pPr>
              <w:pStyle w:val="MdTableCell"/>
            </w:pPr>
            <w:r>
              <w:t xml:space="preserve">Vendor dependency increases. A vendor roadmap, service change, pricing change, outage, capability limit, or contract change can affect test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FNB-specific reusable automation</w:t>
            </w:r>
          </w:p>
        </w:tc>
        <w:tc>
          <w:tcPr>
            <w:tcMar>
              <w:top w:type="dxa" w:w="80"/>
              <w:left w:type="dxa" w:w="120"/>
              <w:bottom w:type="dxa" w:w="80"/>
              <w:right w:type="dxa" w:w="120"/>
            </w:tcMar>
            <w:vAlign w:val="center"/>
          </w:tcPr>
          <w:p>
            <w:pPr>
              <w:pStyle w:val="MdTableCell"/>
            </w:pPr>
            <w:r>
              <w:t xml:space="preserve">Existing domain-specific test steps and business methods are already built around the company’s workflows and test practices.</w:t>
            </w:r>
          </w:p>
        </w:tc>
        <w:tc>
          <w:tcPr>
            <w:tcBorders>
              <w:right w:val="none"/>
            </w:tcBorders>
            <w:tcMar>
              <w:top w:type="dxa" w:w="80"/>
              <w:left w:type="dxa" w:w="120"/>
              <w:bottom w:type="dxa" w:w="80"/>
              <w:right w:type="dxa" w:w="120"/>
            </w:tcMar>
            <w:vAlign w:val="center"/>
          </w:tcPr>
          <w:p>
            <w:pPr>
              <w:pStyle w:val="MdTableCell"/>
            </w:pPr>
            <w:r>
              <w:t xml:space="preserve">The replacement decision may require re-authoring test logic or retaining two frameworks at once.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Internal-system fit</w:t>
            </w:r>
          </w:p>
        </w:tc>
        <w:tc>
          <w:tcPr>
            <w:tcMar>
              <w:top w:type="dxa" w:w="80"/>
              <w:left w:type="dxa" w:w="120"/>
              <w:bottom w:type="dxa" w:w="80"/>
              <w:right w:type="dxa" w:w="120"/>
            </w:tcMar>
            <w:vAlign w:val="center"/>
          </w:tcPr>
          <w:p>
            <w:pPr>
              <w:pStyle w:val="MdTableCell"/>
            </w:pPr>
            <w:r>
              <w:t xml:space="preserve">The framework executes from FNB-controlled machines and supports the existing internal testing model.</w:t>
            </w:r>
          </w:p>
        </w:tc>
        <w:tc>
          <w:tcPr>
            <w:tcBorders>
              <w:right w:val="none"/>
            </w:tcBorders>
            <w:tcMar>
              <w:top w:type="dxa" w:w="80"/>
              <w:left w:type="dxa" w:w="120"/>
              <w:bottom w:type="dxa" w:w="80"/>
              <w:right w:type="dxa" w:w="120"/>
            </w:tcMar>
            <w:vAlign w:val="center"/>
          </w:tcPr>
          <w:p>
            <w:pPr>
              <w:pStyle w:val="MdTableCell"/>
            </w:pPr>
            <w:r>
              <w:t xml:space="preserve">Cloud browsers and devices need a separately approved path into private FNB environments. TestMu AI documents tunnels and site-to-site tunnels for private targets. </w:t>
            </w:r>
            <w:hyperlink w:history="1" r:id="rId7p35arqflwnqsj3l3ds-b">
              <w:r>
                <w:rPr>
                  <w:rStyle w:val="MdLink"/>
                </w:rPr>
                <w:t xml:space="preserve">4</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 and evidence control</w:t>
            </w:r>
          </w:p>
        </w:tc>
        <w:tc>
          <w:tcPr>
            <w:tcMar>
              <w:top w:type="dxa" w:w="80"/>
              <w:left w:type="dxa" w:w="120"/>
              <w:bottom w:type="dxa" w:w="80"/>
              <w:right w:type="dxa" w:w="120"/>
            </w:tcMar>
            <w:vAlign w:val="center"/>
          </w:tcPr>
          <w:p>
            <w:pPr>
              <w:pStyle w:val="MdTableCell"/>
            </w:pPr>
            <w:r>
              <w:t xml:space="preserve">Evidence and outputs can remain in FNB-controlled locations, processes, and retention models.</w:t>
            </w:r>
          </w:p>
        </w:tc>
        <w:tc>
          <w:tcPr>
            <w:tcBorders>
              <w:right w:val="none"/>
            </w:tcBorders>
            <w:tcMar>
              <w:top w:type="dxa" w:w="80"/>
              <w:left w:type="dxa" w:w="120"/>
              <w:bottom w:type="dxa" w:w="80"/>
              <w:right w:type="dxa" w:w="120"/>
            </w:tcMar>
            <w:vAlign w:val="center"/>
          </w:tcPr>
          <w:p>
            <w:pPr>
              <w:pStyle w:val="MdTableCell"/>
            </w:pPr>
            <w:r>
              <w:t xml:space="preserve">Screenshots, videos, logs, console output, artifacts, and test metadata may enter a vendor platform unless controls and scope are explicitly configured and approved.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Non-UI testing</w:t>
            </w:r>
          </w:p>
        </w:tc>
        <w:tc>
          <w:tcPr>
            <w:tcMar>
              <w:top w:type="dxa" w:w="80"/>
              <w:left w:type="dxa" w:w="120"/>
              <w:bottom w:type="dxa" w:w="80"/>
              <w:right w:type="dxa" w:w="120"/>
            </w:tcMar>
            <w:vAlign w:val="center"/>
          </w:tcPr>
          <w:p>
            <w:pPr>
              <w:pStyle w:val="MdTableCell"/>
            </w:pPr>
            <w:r>
              <w:t xml:space="preserve">FNB-ETAF already combines API, DB, CSV/XML/TXT/ZIP, PDF, mobile, performance, and UI capabilities under one test framework. </w:t>
            </w:r>
            <w:hyperlink w:history="1" r:id="rIdyfblb4vgohob2vyuga_go">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TestMu AI may orchestrate or retain outputs, but it does not automatically replace FNB custom Java modules or test contracts.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Custom reporting</w:t>
            </w:r>
          </w:p>
        </w:tc>
        <w:tc>
          <w:tcPr>
            <w:tcMar>
              <w:top w:type="dxa" w:w="80"/>
              <w:left w:type="dxa" w:w="120"/>
              <w:bottom w:type="dxa" w:w="80"/>
              <w:right w:type="dxa" w:w="120"/>
            </w:tcMar>
            <w:vAlign w:val="center"/>
          </w:tcPr>
          <w:p>
            <w:pPr>
              <w:pStyle w:val="MdTableCell"/>
            </w:pPr>
            <w:r>
              <w:t xml:space="preserve">FNB-ETAF has existing per-feature, Extent, PDF, Glass PDF, evidence, and performance reporting paths aligned with current test execution. </w:t>
            </w:r>
            <w:hyperlink w:history="1" r:id="rIds_g1dlkecab_tkkjexq7r">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A hosted dashboard is useful, but it must be proven to meet feature-level detail, attachment, retention, export, audit, and business-report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API performance implementation</w:t>
            </w:r>
          </w:p>
        </w:tc>
        <w:tc>
          <w:tcPr>
            <w:tcMar>
              <w:top w:type="dxa" w:w="80"/>
              <w:left w:type="dxa" w:w="120"/>
              <w:bottom w:type="dxa" w:w="80"/>
              <w:right w:type="dxa" w:w="120"/>
            </w:tcMar>
            <w:vAlign w:val="center"/>
          </w:tcPr>
          <w:p>
            <w:pPr>
              <w:pStyle w:val="MdTableCell"/>
            </w:pPr>
            <w:r>
              <w:t xml:space="preserve">The framework has JMeter DSL-based performance logic, controlled tokens/payloads, thresholds, JTL/dashboard outputs, and Excel reporting. </w:t>
            </w:r>
            <w:hyperlink w:history="1" r:id="rId6y_magenu7j28tpcrxn_5">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TestMu AI documents execution of JMeter test plans. That is not automatically equivalent to a Java JMeter DSL implementation. An adapter or a redesign would be required. </w:t>
            </w:r>
            <w:hyperlink w:history="1" r:id="rIdrorpfrlqoqx3qrfcsbnsd">
              <w:r>
                <w:rPr>
                  <w:rStyle w:val="MdLink"/>
                </w:rPr>
                <w:t xml:space="preserve">5</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Real-browser UI performance</w:t>
            </w:r>
          </w:p>
        </w:tc>
        <w:tc>
          <w:tcPr>
            <w:tcMar>
              <w:top w:type="dxa" w:w="80"/>
              <w:left w:type="dxa" w:w="120"/>
              <w:bottom w:type="dxa" w:w="80"/>
              <w:right w:type="dxa" w:w="120"/>
            </w:tcMar>
            <w:vAlign w:val="center"/>
          </w:tcPr>
          <w:p>
            <w:pPr>
              <w:pStyle w:val="MdTableCell"/>
            </w:pPr>
            <w:r>
              <w:t xml:space="preserve">The isolated </w:t>
            </w:r>
            <w:r>
              <w:rPr>
                <w:rStyle w:val="MdCode"/>
                <w:u w:val="single"/>
              </w:rPr>
              <w:t xml:space="preserve">ui_performance</w:t>
            </w:r>
            <w:r>
              <w:t xml:space="preserve"> module creates a browser process per virtual user and evaluates browser-journey timing, thresholds, stages, and evidence. </w:t>
            </w:r>
            <w:hyperlink w:history="1" r:id="rIdq_slwtoxffwmeh9luyalj">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Vendor grid execution may add capacity, but it does not automatically replace the current virtual-user model, measurements, reporting, or safety controls.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Exit strategy</w:t>
            </w:r>
          </w:p>
        </w:tc>
        <w:tc>
          <w:tcPr>
            <w:tcBorders>
              <w:bottom w:val="single" w:color="E1E4E8" w:sz="4"/>
            </w:tcBorders>
            <w:tcMar>
              <w:top w:type="dxa" w:w="80"/>
              <w:left w:type="dxa" w:w="120"/>
              <w:bottom w:type="dxa" w:w="80"/>
              <w:right w:type="dxa" w:w="120"/>
            </w:tcMar>
            <w:vAlign w:val="center"/>
          </w:tcPr>
          <w:p>
            <w:pPr>
              <w:pStyle w:val="MdTableCell"/>
            </w:pPr>
            <w:r>
              <w:t xml:space="preserve">FNB can continue to run its tests if any vendor service is unavailable or a vendor relationship changes.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complete replacement can create operational lock-in and reduce the company’s ability to run independent local or internal CI/CD automation.</w:t>
            </w:r>
          </w:p>
        </w:tc>
      </w:tr>
    </w:tbl>
    <w:p>
      <w:pPr>
        <w:pStyle w:val="Heading2"/>
        <w:pStyle w:val="MdHeading2"/>
      </w:pPr>
      <w:r>
        <w:t xml:space="preserve">Where TestMu AI is stronger</w:t>
      </w:r>
    </w:p>
    <w:p>
      <w:pPr>
        <w:pStyle w:val="MdParagraph"/>
      </w:pPr>
      <w:r>
        <w:t xml:space="preserve">The company should recognize the areas where TestMu AI has a real advantage. TestMu AI documents broad managed execution support for browser, mobile, performance, and API testing. It also documents HyperExecute as a managed orchestration service. </w:t>
      </w:r>
      <w:hyperlink w:history="1" r:id="rIdw3nsgctmbjzio4uiej4ew">
        <w:r>
          <w:rPr>
            <w:rStyle w:val="MdLink"/>
          </w:rPr>
          <w:t xml:space="preserve">1</w:t>
        </w:r>
      </w:hyperlink>
    </w:p>
    <w:p>
      <w:pPr>
        <w:pStyle w:val="MdSpace"/>
        <w:spacing w:before="0" w:after="60"/>
      </w:pPr>
    </w:p>
    <w:p>
      <w:pPr>
        <w:pStyle w:val="MdParagraph"/>
      </w:pPr>
      <w:r>
        <w:t xml:space="preserve">Its strongest value is likely </w:t>
      </w:r>
      <w:r>
        <w:rPr>
          <w:rStyle w:val="MdStrong"/>
          <w:b/>
          <w:bCs/>
        </w:rPr>
        <w:t xml:space="preserve">managed infrastructure</w:t>
      </w:r>
      <w:r>
        <w:t xml:space="preserve">, not replacing the FNB automation design. TestMu AI can provide browser and operating-system combinations that would be costly to maintain internally. It also provides a real-device cloud for Appium automation, including documented Java, Cucumber, JUnit, and TestNG paths. </w:t>
      </w:r>
      <w:hyperlink w:history="1" r:id="rIdofy1ruurhd_cgv4ewhesf">
        <w:r>
          <w:rPr>
            <w:rStyle w:val="MdLink"/>
          </w:rPr>
          <w:t xml:space="preserve">6</w:t>
        </w:r>
      </w:hyperlink>
    </w:p>
    <w:p>
      <w:pPr>
        <w:pStyle w:val="MdSpace"/>
        <w:spacing w:before="0" w:after="60"/>
      </w:pPr>
    </w:p>
    <w:p>
      <w:pPr>
        <w:pStyle w:val="MdParagraph"/>
      </w:pPr>
      <w:r>
        <w:t xml:space="preserve">TestMu AI also provides centralized analytics. Its product material describes build-level pass/fail trends, test health, flaky-test trends, browser/device coverage, error insights, and AI-assisted root-cause suggestions. </w:t>
      </w:r>
      <w:hyperlink w:history="1" r:id="rIdxgblq_qebzryrhacegwst">
        <w:r>
          <w:rPr>
            <w:rStyle w:val="MdLink"/>
          </w:rPr>
          <w:t xml:space="preserve">2</w:t>
        </w:r>
      </w:hyperlink>
      <w:r>
        <w:t xml:space="preserve"> These can be useful to management and release teams, especially if the company needs a single dashboard across multiple projects.</w:t>
      </w:r>
    </w:p>
    <w:p>
      <w:pPr>
        <w:pStyle w:val="MdSpace"/>
        <w:spacing w:before="0" w:after="60"/>
      </w:pPr>
    </w:p>
    <w:p>
      <w:pPr>
        <w:pStyle w:val="MdParagraph"/>
      </w:pPr>
      <w:r>
        <w:t xml:space="preserve">TestMu AI documents enterprise controls such as SAML SSO, SCIM, role-based access control, audit logs, encryption, and secret-management features. These are positive vendor capabilities, but FNB must validate the exact contracted scope, data residency, access model, retention behavior, network design, and implementation configuration through its own security and procurement processes. </w:t>
      </w:r>
      <w:hyperlink w:history="1" r:id="rIdmbjkawu0wxl-af2cps1ur">
        <w:r>
          <w:rPr>
            <w:rStyle w:val="MdLink"/>
          </w:rPr>
          <w:t xml:space="preserve">7</w:t>
        </w:r>
      </w:hyperlink>
    </w:p>
    <w:p>
      <w:pPr>
        <w:pStyle w:val="MdSpace"/>
        <w:spacing w:before="0" w:after="60"/>
      </w:pPr>
    </w:p>
    <w:p>
      <w:pPr>
        <w:pStyle w:val="Heading2"/>
        <w:pStyle w:val="MdHeading2"/>
      </w:pPr>
      <w:r>
        <w:t xml:space="preserve">Why a direct “move” is technically risky</w:t>
      </w:r>
    </w:p>
    <w:p>
      <w:pPr>
        <w:pStyle w:val="MdParagraph"/>
      </w:pPr>
      <w:r>
        <w:t xml:space="preserve">The current FNB web UI stack uses </w:t>
      </w:r>
      <w:r>
        <w:rPr>
          <w:rStyle w:val="MdStrong"/>
          <w:b/>
          <w:bCs/>
        </w:rPr>
        <w:t xml:space="preserve">Java, Playwright, Cucumber, and TestNG</w:t>
      </w:r>
      <w:r>
        <w:t xml:space="preserve">. TestMu AI documents Playwright and Java support through HyperExecute, but its published Java Playwright material uses a JUnit example. It separately documents Java Cucumber execution through a Selenium-hub-oriented path. </w:t>
      </w:r>
      <w:hyperlink w:history="1" r:id="rIdu1769f1qlwrvrtivhqqom">
        <w:r>
          <w:rPr>
            <w:rStyle w:val="MdLink"/>
          </w:rPr>
          <w:t xml:space="preserve">8</w:t>
        </w:r>
      </w:hyperlink>
      <w:r>
        <w:t xml:space="preserve"> </w:t>
      </w:r>
      <w:hyperlink w:history="1" r:id="rIdfkjvnud7csxocooxx17bi">
        <w:r>
          <w:rPr>
            <w:rStyle w:val="MdLink"/>
          </w:rPr>
          <w:t xml:space="preserve">9</w:t>
        </w:r>
      </w:hyperlink>
    </w:p>
    <w:p>
      <w:pPr>
        <w:pStyle w:val="MdSpace"/>
        <w:spacing w:before="0" w:after="60"/>
      </w:pPr>
    </w:p>
    <w:p>
      <w:pPr>
        <w:pStyle w:val="MdParagraph"/>
      </w:pPr>
      <w:r>
        <w:t xml:space="preserve">This matters because documented support for individual technologies does not prove that the exact FNB combination works unchanged. The company should not assume that Java Playwright + Cucumber + TestNG + FNB custom hooks, reports, video handling, and browser management will be a zero-code-change move. Any statement that it will be “plug and play” should be demonstrated with a controlled proof of concept.</w:t>
      </w:r>
    </w:p>
    <w:p>
      <w:pPr>
        <w:pStyle w:val="MdSpace"/>
        <w:spacing w:before="0" w:after="60"/>
      </w:pPr>
    </w:p>
    <w:p>
      <w:pPr>
        <w:pStyle w:val="MdParagraph"/>
      </w:pPr>
      <w:r>
        <w:t xml:space="preserve">The same issue applies to performance. TestMu AI can run JMeter performance tests and provides reports for summary, timeline, request statistics, errors, and logs. Its documented setup asks for a JMeter test plan. </w:t>
      </w:r>
      <w:hyperlink w:history="1" r:id="rIdnnx-axwov3mbcwfu5oju6">
        <w:r>
          <w:rPr>
            <w:rStyle w:val="MdLink"/>
          </w:rPr>
          <w:t xml:space="preserve">5</w:t>
        </w:r>
      </w:hyperlink>
      <w:r>
        <w:t xml:space="preserve"> FNB-ETAF’s current API-performance route is Java JMeter DSL rather than simply an uploaded </w:t>
      </w:r>
      <w:r>
        <w:rPr>
          <w:rStyle w:val="MdCode"/>
          <w:u w:val="single"/>
        </w:rPr>
        <w:t xml:space="preserve">.jmx</w:t>
      </w:r>
      <w:r>
        <w:t xml:space="preserve"> file. The company must prove a supported conversion or export path, correct authentication behavior, comparable load controls, and report equivalence before retiring the current implementation.</w:t>
      </w:r>
    </w:p>
    <w:p>
      <w:pPr>
        <w:pStyle w:val="MdSpace"/>
        <w:spacing w:before="0" w:after="60"/>
      </w:pPr>
    </w:p>
    <w:p>
      <w:pPr>
        <w:pStyle w:val="Heading2"/>
        <w:pStyle w:val="MdHeading2"/>
      </w:pPr>
      <w:r>
        <w:t xml:space="preserve">Why a direct “move” is a security and compliance decision</w:t>
      </w:r>
    </w:p>
    <w:p>
      <w:pPr>
        <w:pStyle w:val="MdParagraph"/>
      </w:pPr>
      <w:r>
        <w:t xml:space="preserve">FNB-ETAF currently fits an internal execution pattern: tests run from FNB-controlled developer or CI/CD environments to approved targets. TestMu AI cloud sessions will require a reviewed connection pattern before they can access private FNB applications. TestMu AI documents temporary tunnels for internal applications and a site-to-site tunnel model for enterprise or regulated environments. </w:t>
      </w:r>
      <w:hyperlink w:history="1" r:id="rIdagbt_haedujjscpodimhm">
        <w:r>
          <w:rPr>
            <w:rStyle w:val="MdLink"/>
          </w:rPr>
          <w:t xml:space="preserve">4</w:t>
        </w:r>
      </w:hyperlink>
    </w:p>
    <w:p>
      <w:pPr>
        <w:pStyle w:val="MdSpace"/>
        <w:spacing w:before="0" w:after="60"/>
      </w:pPr>
    </w:p>
    <w:p>
      <w:pPr>
        <w:pStyle w:val="MdParagraph"/>
      </w:pPr>
      <w:r>
        <w:t xml:space="preserve">That is not automatically unacceptable. It simply means that migration is not a test-team-only decision. It affects Security Architecture, Network Security, Third-Party Risk, Privacy, data classification, application ownership, secrets management, evidence retention, and incident response.</w:t>
      </w:r>
    </w:p>
    <w:p>
      <w:pPr>
        <w:pStyle w:val="MdSpace"/>
        <w:spacing w:before="0" w:after="60"/>
      </w:pPr>
    </w:p>
    <w:p>
      <w:pPr>
        <w:pStyle w:val="MdParagraph"/>
      </w:pPr>
      <w:r>
        <w:t xml:space="preserve">Before any internal application is accessed by TestMu AI, FNB should require written approval for: the exact target environments; the tunnel or connectivity pattern; authentication and credential storage; logs/screenshots/video collection; data masking; artifact retention; role-based access; audit records; incident handling; and service termination or exit procedures.</w:t>
      </w:r>
    </w:p>
    <w:p>
      <w:pPr>
        <w:pStyle w:val="MdSpace"/>
        <w:spacing w:before="0" w:after="60"/>
      </w:pPr>
    </w:p>
    <w:p>
      <w:pPr>
        <w:pStyle w:val="Heading2"/>
        <w:pStyle w:val="MdHeading2"/>
      </w:pPr>
      <w:r>
        <w:t xml:space="preserve">The stronger alternative: a hybrid model</w:t>
      </w:r>
    </w:p>
    <w:p>
      <w:pPr>
        <w:pStyle w:val="MdParagraph"/>
      </w:pPr>
      <w:r>
        <w:t xml:space="preserve">FNB can receive TestMu AI’s benefits without throwing away FNB-ETAF.</w:t>
      </w:r>
    </w:p>
    <w:p>
      <w:pPr>
        <w:pStyle w:val="MdSpace"/>
        <w:spacing w:before="0" w:after="60"/>
      </w:pPr>
    </w:p>
    <w:p>
      <w:pPr>
        <w:pStyle w:val="MdParagraph"/>
      </w:pPr>
      <w:r>
        <w:t xml:space="preserve">Keep </w:t>
      </w:r>
      <w:r>
        <w:rPr>
          <w:rStyle w:val="MdStrong"/>
          <w:b/>
          <w:bCs/>
        </w:rPr>
        <w:t xml:space="preserve">FNB-ETAF</w:t>
      </w:r>
      <w:r>
        <w:t xml:space="preserve"> as the source-controlled automation framework. Keep its Cucumber feature files, Java business methods, test data model, YAML configuration, custom reports, test evidence, API/DB/file/PDF modules, and performance modules under FNB control.</w:t>
      </w:r>
    </w:p>
    <w:p>
      <w:pPr>
        <w:pStyle w:val="MdSpace"/>
        <w:spacing w:before="0" w:after="60"/>
      </w:pPr>
    </w:p>
    <w:p>
      <w:pPr>
        <w:pStyle w:val="MdParagraph"/>
      </w:pPr>
      <w:r>
        <w:t xml:space="preserve">Use </w:t>
      </w:r>
      <w:r>
        <w:rPr>
          <w:rStyle w:val="MdStrong"/>
          <w:b/>
          <w:bCs/>
        </w:rPr>
        <w:t xml:space="preserve">TestMu AI only as an approved optional execution provider</w:t>
      </w:r>
      <w:r>
        <w:t xml:space="preserve"> where it adds clear value. The first suitable use cases are cross-browser browser coverage and real-device Appium coverage. A future framework configuration could select a provider such as </w:t>
      </w:r>
      <w:r>
        <w:rPr>
          <w:rStyle w:val="MdCode"/>
          <w:u w:val="single"/>
        </w:rPr>
        <w:t xml:space="preserve">local</w:t>
      </w:r>
      <w:r>
        <w:t xml:space="preserve"> or </w:t>
      </w:r>
      <w:r>
        <w:rPr>
          <w:rStyle w:val="MdCode"/>
          <w:u w:val="single"/>
        </w:rPr>
        <w:t xml:space="preserve">testmu</w:t>
      </w:r>
      <w:r>
        <w:t xml:space="preserve"> for an approved test suite. Local execution should remain the default and should continue to work independently.</w:t>
      </w:r>
    </w:p>
    <w:p>
      <w:pPr>
        <w:pStyle w:val="MdSpace"/>
        <w:spacing w:before="0" w:after="60"/>
      </w:pPr>
    </w:p>
    <w:p>
      <w:pPr>
        <w:pStyle w:val="MdParagraph"/>
      </w:pPr>
      <w:r>
        <w:t xml:space="preserve">This model avoids all-or-nothing risk. It lets FNB validate actual business value before it transfers more execution or evidence to a vendor platform.</w:t>
      </w:r>
    </w:p>
    <w:p>
      <w:pPr>
        <w:pStyle w:val="MdSpace"/>
        <w:spacing w:before="0" w:after="60"/>
      </w:pPr>
    </w:p>
    <w:p>
      <w:pPr>
        <w:pStyle w:val="Heading2"/>
        <w:pStyle w:val="MdHeading2"/>
      </w:pPr>
      <w:r>
        <w:t xml:space="preserve">What FNB should request before approving a replacement</w:t>
      </w:r>
    </w:p>
    <w:p>
      <w:pPr>
        <w:pStyle w:val="MdParagraph"/>
      </w:pPr>
      <w:r>
        <w:t xml:space="preserve">A full replacement should not be approved until TestMu AI demonstrates all of the following against FNB acceptance criteria:</w:t>
      </w:r>
    </w:p>
    <w:p>
      <w:pPr>
        <w:pStyle w:val="MdSpace"/>
        <w:spacing w:before="0" w:after="60"/>
      </w:pPr>
    </w:p>
    <w:p>
      <w:pPr>
        <w:pStyle w:val="MdListItem"/>
        <w:numPr>
          <w:ilvl w:val="0"/>
          <w:numId w:val="2"/>
        </w:numPr>
      </w:pPr>
      <w:r>
        <w:rPr>
          <w:rStyle w:val="MdStrong"/>
          <w:b/>
          <w:bCs/>
        </w:rPr>
        <w:t xml:space="preserve">Exact framework compatibility.</w:t>
      </w:r>
      <w:r>
        <w:t xml:space="preserve"> Run the current FNB Java + Playwright + Cucumber + TestNG path without removing critical features or creating unsupported workarounds.</w:t>
      </w:r>
    </w:p>
    <w:p>
      <w:pPr>
        <w:pStyle w:val="MdListItem"/>
        <w:numPr>
          <w:ilvl w:val="0"/>
          <w:numId w:val="2"/>
        </w:numPr>
      </w:pPr>
      <w:r>
        <w:rPr>
          <w:rStyle w:val="MdStrong"/>
          <w:b/>
          <w:bCs/>
        </w:rPr>
        <w:t xml:space="preserve">Evidence and report parity.</w:t>
      </w:r>
      <w:r>
        <w:t xml:space="preserve"> Show that test results include the required scenario/step detail, failure information, screenshots, videos, downloads, performance metrics, exports, and retention controls.</w:t>
      </w:r>
    </w:p>
    <w:p>
      <w:pPr>
        <w:pStyle w:val="MdListItem"/>
        <w:numPr>
          <w:ilvl w:val="0"/>
          <w:numId w:val="2"/>
        </w:numPr>
      </w:pPr>
      <w:r>
        <w:rPr>
          <w:rStyle w:val="MdStrong"/>
          <w:b/>
          <w:bCs/>
        </w:rPr>
        <w:t xml:space="preserve">Internal-network approval.</w:t>
      </w:r>
      <w:r>
        <w:t xml:space="preserve"> Obtain Security Architecture approval for any cloud-to-FNB connectivity, including tunnel or site-to-site design.</w:t>
      </w:r>
    </w:p>
    <w:p>
      <w:pPr>
        <w:pStyle w:val="MdListItem"/>
        <w:numPr>
          <w:ilvl w:val="0"/>
          <w:numId w:val="2"/>
        </w:numPr>
      </w:pPr>
      <w:r>
        <w:rPr>
          <w:rStyle w:val="MdStrong"/>
          <w:b/>
          <w:bCs/>
        </w:rPr>
        <w:t xml:space="preserve">Data protection approval.</w:t>
      </w:r>
      <w:r>
        <w:t xml:space="preserve"> Confirm data classification, masking, encryption, data residency, user access, audit logging, artifact retention, and deletion behavior.</w:t>
      </w:r>
    </w:p>
    <w:p>
      <w:pPr>
        <w:pStyle w:val="MdListItem"/>
        <w:numPr>
          <w:ilvl w:val="0"/>
          <w:numId w:val="2"/>
        </w:numPr>
      </w:pPr>
      <w:r>
        <w:rPr>
          <w:rStyle w:val="MdStrong"/>
          <w:b/>
          <w:bCs/>
        </w:rPr>
        <w:t xml:space="preserve">Performance parity.</w:t>
      </w:r>
      <w:r>
        <w:t xml:space="preserve"> Prove equivalence for FNB JMeter DSL/API performance and the separate browser-based </w:t>
      </w:r>
      <w:r>
        <w:rPr>
          <w:rStyle w:val="MdCode"/>
          <w:u w:val="single"/>
        </w:rPr>
        <w:t xml:space="preserve">ui_performance</w:t>
      </w:r>
      <w:r>
        <w:t xml:space="preserve"> module. Do not substitute a simple functional run for a performance test.</w:t>
      </w:r>
    </w:p>
    <w:p>
      <w:pPr>
        <w:pStyle w:val="MdListItem"/>
        <w:numPr>
          <w:ilvl w:val="0"/>
          <w:numId w:val="2"/>
        </w:numPr>
      </w:pPr>
      <w:r>
        <w:rPr>
          <w:rStyle w:val="MdStrong"/>
          <w:b/>
          <w:bCs/>
        </w:rPr>
        <w:t xml:space="preserve">Commercial clarity.</w:t>
      </w:r>
      <w:r>
        <w:t xml:space="preserve"> Obtain the final licensed concurrency, real-device allowance, browser coverage, artifact retention, support model, overage treatment, renewal terms, and exit terms. No cost comparison is valid until these items are contractually clear.</w:t>
      </w:r>
    </w:p>
    <w:p>
      <w:pPr>
        <w:pStyle w:val="MdListItem"/>
        <w:numPr>
          <w:ilvl w:val="0"/>
          <w:numId w:val="2"/>
        </w:numPr>
      </w:pPr>
      <w:r>
        <w:rPr>
          <w:rStyle w:val="MdStrong"/>
          <w:b/>
          <w:bCs/>
        </w:rPr>
        <w:t xml:space="preserve">Fallback operation.</w:t>
      </w:r>
      <w:r>
        <w:t xml:space="preserve"> Demonstrate that FNB-ETAF local and internal CI/CD execution remains available if TestMu AI is unavailable or the vendor relationship ends.</w:t>
      </w:r>
    </w:p>
    <w:p>
      <w:pPr>
        <w:pStyle w:val="MdSpace"/>
        <w:spacing w:before="0" w:after="60"/>
      </w:pPr>
    </w:p>
    <w:p>
      <w:pPr>
        <w:pStyle w:val="MdParagraph"/>
      </w:pPr>
      <w:r>
        <w:t xml:space="preserve">If any one of these items fails, then TestMu AI should be used only for the approved limited use case rather than as an FNB-ETAF replacement.</w:t>
      </w:r>
    </w:p>
    <w:p>
      <w:pPr>
        <w:pStyle w:val="MdSpace"/>
        <w:spacing w:before="0" w:after="60"/>
      </w:pPr>
    </w:p>
    <w:p>
      <w:pPr>
        <w:pStyle w:val="Heading2"/>
        <w:pStyle w:val="MdHeading2"/>
      </w:pPr>
      <w:r>
        <w:t xml:space="preserve">Recommended message to stakeholders</w:t>
      </w:r>
    </w:p>
    <w:p>
      <w:pPr>
        <w:pStyle w:val="MdBlockquote"/>
      </w:pPr>
      <w:r>
        <w:t xml:space="preserve">FNB-ETAF should be retained because it is a company-owned enterprise automation framework, not merely a browser testing tool. It already integrates FNB-specific test logic and supports UI, API, database, mobile, files, PDF validation, API performance, browser-based UI performance, reporting, and evidence in one controlled framework. TestMu AI offers valuable cloud infrastructure, real devices, analytics, and AI capabilities. However, its value should be evaluated as a complementary execution platform, not assumed to be a full replacement. A full migration would require proof of technical compatibility, report parity, security approval for private FNB applications, commercial value, and an operational fallback. The lowest-risk and highest-value decision is to retain FNB-ETAF and pilot TestMu AI only for approved cloud browser and mobile-device use cases.</w:t>
      </w:r>
    </w:p>
    <w:p>
      <w:pPr>
        <w:pStyle w:val="MdSpace"/>
        <w:spacing w:before="0" w:after="60"/>
      </w:pPr>
    </w:p>
    <w:p>
      <w:pPr>
        <w:pStyle w:val="Heading2"/>
        <w:pStyle w:val="MdHeading2"/>
      </w:pPr>
      <w:r>
        <w:t xml:space="preserve">Final recommendation</w:t>
      </w:r>
    </w:p>
    <w:p>
      <w:pPr>
        <w:pStyle w:val="MdParagraph"/>
      </w:pPr>
      <w:r>
        <w:rPr>
          <w:rStyle w:val="MdStrong"/>
          <w:b/>
          <w:bCs/>
        </w:rPr>
        <w:t xml:space="preserve">Defend FNB-ETAF as the framework that FNB should keep.</w:t>
      </w:r>
      <w:r>
        <w:t xml:space="preserve"> Do not defend it by saying that TestMu AI has no value. Instead, show that the platforms serve different roles:</w:t>
      </w:r>
    </w:p>
    <w:p>
      <w:pPr>
        <w:pStyle w:val="MdSpace"/>
        <w:spacing w:before="0" w:after="60"/>
      </w:pPr>
    </w:p>
    <w:p>
      <w:pPr>
        <w:pStyle w:val="MdListItem"/>
        <w:numPr>
          <w:ilvl w:val="0"/>
          <w:numId w:val="3"/>
        </w:numPr>
      </w:pPr>
      <w:r>
        <w:rPr>
          <w:rStyle w:val="MdStrong"/>
          <w:b/>
          <w:bCs/>
        </w:rPr>
        <w:t xml:space="preserve">FNB-ETAF:</w:t>
      </w:r>
      <w:r>
        <w:t xml:space="preserve"> company-owned test automation capability, custom workflow logic, internal-system fit, detailed evidence, specialized modules, and portable execution.</w:t>
      </w:r>
    </w:p>
    <w:p>
      <w:pPr>
        <w:pStyle w:val="MdListItem"/>
        <w:numPr>
          <w:ilvl w:val="0"/>
          <w:numId w:val="3"/>
        </w:numPr>
      </w:pPr>
      <w:r>
        <w:rPr>
          <w:rStyle w:val="MdStrong"/>
          <w:b/>
          <w:bCs/>
        </w:rPr>
        <w:t xml:space="preserve">TestMu AI:</w:t>
      </w:r>
      <w:r>
        <w:t xml:space="preserve"> optional managed cloud execution, broad browser/device coverage, orchestration, centralized analytics, and AI-assisted vendor capabilities.</w:t>
      </w:r>
    </w:p>
    <w:p>
      <w:pPr>
        <w:pStyle w:val="MdSpace"/>
        <w:spacing w:before="0" w:after="60"/>
      </w:pPr>
    </w:p>
    <w:p>
      <w:pPr>
        <w:pStyle w:val="MdParagraph"/>
      </w:pPr>
      <w:r>
        <w:t xml:space="preserve">The strongest business decision is </w:t>
      </w:r>
      <w:r>
        <w:rPr>
          <w:rStyle w:val="MdStrong"/>
          <w:b/>
          <w:bCs/>
        </w:rPr>
        <w:t xml:space="preserve">not a wholesale migration</w:t>
      </w:r>
      <w:r>
        <w:t xml:space="preserve">. It is a governed hybrid model, beginning with a small non-sensitive proof of concept and expanding only when TestMu AI proves a measurable advantage without losing FNB-ETAF functionality or security control.</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_wzodszwdj3m1b2ucphx" Type="http://schemas.openxmlformats.org/officeDocument/2006/relationships/hyperlink" Target="https://www.testmuai.com/support/docs/hyperexecute-supported-languages-and-frameworks/" TargetMode="External"/><Relationship Id="rIdhc22bzsokzrejrd4m4zyp" Type="http://schemas.openxmlformats.org/officeDocument/2006/relationships/hyperlink" Target="https://www.testmuai.com/test-analytics/" TargetMode="External"/><Relationship Id="rIdidun2j2tcmqde1qca4urr" Type="http://schemas.openxmlformats.org/officeDocument/2006/relationships/hyperlink" Target="../PTAF_dev_ui_performance_video_fix_2026-09-23/docs/FNB-ETAF_Framework_Guide_and_Update.md" TargetMode="External"/><Relationship Id="rIdzisgs5rtsbtym0ho8g1a5" Type="http://schemas.openxmlformats.org/officeDocument/2006/relationships/hyperlink" Target="../PTAF_dev_ui_performance_video_fix_2026-09-23/docs/FNB-ETAF_Framework_Guide_and_Update.md" TargetMode="External"/><Relationship Id="rId7p35arqflwnqsj3l3ds-b" Type="http://schemas.openxmlformats.org/officeDocument/2006/relationships/hyperlink" Target="https://www.testmuai.com/support/docs/network-whitelisting-and-tunnel-guide/" TargetMode="External"/><Relationship Id="rIdyfblb4vgohob2vyuga_go" Type="http://schemas.openxmlformats.org/officeDocument/2006/relationships/hyperlink" Target="../PTAF_dev_ui_performance_video_fix_2026-09-23/docs/FNB-ETAF_Framework_Guide_and_Update.md" TargetMode="External"/><Relationship Id="rIds_g1dlkecab_tkkjexq7r" Type="http://schemas.openxmlformats.org/officeDocument/2006/relationships/hyperlink" Target="../PTAF_dev_ui_performance_video_fix_2026-09-23/docs/FNB-ETAF_Framework_Guide_and_Update.md" TargetMode="External"/><Relationship Id="rId6y_magenu7j28tpcrxn_5" Type="http://schemas.openxmlformats.org/officeDocument/2006/relationships/hyperlink" Target="../PTAF_dev_ui_performance_video_fix_2026-09-23/docs/FNB-ETAF_Framework_Guide_and_Update.md" TargetMode="External"/><Relationship Id="rIdrorpfrlqoqx3qrfcsbnsd" Type="http://schemas.openxmlformats.org/officeDocument/2006/relationships/hyperlink" Target="https://www.testmuai.com/support/docs/hyperexecute-run-jmeter-tests/" TargetMode="External"/><Relationship Id="rIdq_slwtoxffwmeh9luyalj" Type="http://schemas.openxmlformats.org/officeDocument/2006/relationships/hyperlink" Target="../PTAF_dev_ui_performance_video_fix_2026-09-23/docs/FNB-ETAF_Framework_Guide_and_Update.md" TargetMode="External"/><Relationship Id="rIdw3nsgctmbjzio4uiej4ew" Type="http://schemas.openxmlformats.org/officeDocument/2006/relationships/hyperlink" Target="https://www.testmuai.com/support/docs/hyperexecute-supported-languages-and-frameworks/" TargetMode="External"/><Relationship Id="rIdofy1ruurhd_cgv4ewhesf" Type="http://schemas.openxmlformats.org/officeDocument/2006/relationships/hyperlink" Target="https://www.testmuai.com/support/docs/getting-started-with-appium-testing/" TargetMode="External"/><Relationship Id="rIdxgblq_qebzryrhacegwst" Type="http://schemas.openxmlformats.org/officeDocument/2006/relationships/hyperlink" Target="https://www.testmuai.com/test-analytics/" TargetMode="External"/><Relationship Id="rIdmbjkawu0wxl-af2cps1ur" Type="http://schemas.openxmlformats.org/officeDocument/2006/relationships/hyperlink" Target="https://www.testmuai.com/support/docs/enterprise-ready/" TargetMode="External"/><Relationship Id="rIdu1769f1qlwrvrtivhqqom" Type="http://schemas.openxmlformats.org/officeDocument/2006/relationships/hyperlink" Target="https://www.testmuai.com/support/docs/playwright-junit-on-hyperexecute/" TargetMode="External"/><Relationship Id="rIdfkjvnud7csxocooxx17bi" Type="http://schemas.openxmlformats.org/officeDocument/2006/relationships/hyperlink" Target="https://www.testmuai.com/support/docs/cucumber-on-hyperexecute-grid/" TargetMode="External"/><Relationship Id="rIdnnx-axwov3mbcwfu5oju6" Type="http://schemas.openxmlformats.org/officeDocument/2006/relationships/hyperlink" Target="https://www.testmuai.com/support/docs/hyperexecute-run-jmeter-tests/" TargetMode="External"/><Relationship Id="rIdagbt_haedujjscpodimhm" Type="http://schemas.openxmlformats.org/officeDocument/2006/relationships/hyperlink" Target="https://www.testmuai.com/support/docs/network-whitelisting-and-tunnel-guide/"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2026-10-15T15:31:33.685Z</dcterms:created>
  <dcterms:modified xsi:type="dcterms:W3CDTF">2026-10-15T15:31:33.685Z</dcterms:modified>
</cp:coreProperties>
</file>

<file path=docProps/custom.xml><?xml version="1.0" encoding="utf-8"?>
<Properties xmlns="http://schemas.openxmlformats.org/officeDocument/2006/custom-properties" xmlns:vt="http://schemas.openxmlformats.org/officeDocument/2006/docPropsVTypes"/>
</file>