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2E24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5691DA64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Opening Slide – Title / Introduction</w:t>
      </w:r>
    </w:p>
    <w:p w14:paraId="34741AD3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6535EB17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1B65D4A5" w14:textId="77777777" w:rsid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6D111985" w14:textId="377EED64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“Good morning everyone, and thank you for the time today.</w:t>
      </w:r>
    </w:p>
    <w:p w14:paraId="440CE3E6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3D8FCDA4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What I’ll walk you through is not just an automation framework, but how we’ve transformed quality into a scalable, reusable delivery engine that reduces risk, increases speed, and supports multiple business areas across FNB.</w:t>
      </w:r>
    </w:p>
    <w:p w14:paraId="50D0D34F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6476985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This initiative is called FNB PTAF, and it represents how quality engineering can directly support faster, safer, and more predictable delivery.”</w:t>
      </w:r>
    </w:p>
    <w:p w14:paraId="2CA7FBC5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43726FF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Pause. Make eye contact.</w:t>
      </w:r>
    </w:p>
    <w:p w14:paraId="183EF1F6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18354B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D534E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2B5C114F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Why PTAF Exists (Problem Statement)</w:t>
      </w:r>
    </w:p>
    <w:p w14:paraId="0610D9C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4F800F45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7ED6B1B0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0D6BB529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“Historically, testing across projects relied heavily on manual effort, duplicated automation, and project-specific solutions.</w:t>
      </w:r>
    </w:p>
    <w:p w14:paraId="7811A1E9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577D547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That approach created three challenges:</w:t>
      </w:r>
    </w:p>
    <w:p w14:paraId="7E1D42FF" w14:textId="77777777" w:rsidR="004E4F2F" w:rsidRPr="004E4F2F" w:rsidRDefault="004E4F2F" w:rsidP="004E4F2F">
      <w:pPr>
        <w:pStyle w:val="Heading3"/>
        <w:rPr>
          <w:rFonts w:ascii="Helvetica Neue" w:eastAsia="Times New Roman" w:hAnsi="Helvetica Neue" w:cs="Times New Roman"/>
          <w:color w:val="0E0E0E"/>
          <w:sz w:val="21"/>
          <w:szCs w:val="21"/>
        </w:rPr>
      </w:pPr>
      <w:r w:rsidRPr="004E4F2F">
        <w:rPr>
          <w:rFonts w:ascii="Helvetica Neue" w:eastAsia="Times New Roman" w:hAnsi="Helvetica Neue" w:cs="Times New Roman"/>
          <w:color w:val="0E0E0E"/>
          <w:sz w:val="21"/>
          <w:szCs w:val="21"/>
        </w:rPr>
        <w:t>Slower releases, higher risk, and limited reuse.</w:t>
      </w:r>
    </w:p>
    <w:p w14:paraId="43A02992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267A652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PTAF was designed to solve these problems by providing a single, standardized automation core that any project can plug into.”</w:t>
      </w:r>
    </w:p>
    <w:p w14:paraId="0D64814B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4528DE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C0C421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7531146E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lastRenderedPageBreak/>
        <w:t>Slide: PTAF High-Level Architecture (Stage Diagram)</w:t>
      </w:r>
    </w:p>
    <w:p w14:paraId="76E9B61F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7EFCAE55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 (keep this very simple):</w:t>
      </w:r>
    </w:p>
    <w:p w14:paraId="3EB8E273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55D41B16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“This diagram shows that PTAF is built in clear, reusable stages.</w:t>
      </w:r>
    </w:p>
    <w:p w14:paraId="451FF581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61A3FE2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Stage one stores application elements centrally, so changes are managed once.</w:t>
      </w:r>
    </w:p>
    <w:p w14:paraId="6811C22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Stage two captures business requirements in plain English using BDD.</w:t>
      </w:r>
    </w:p>
    <w:p w14:paraId="0C513D97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Stage three connects those requirements to our PTAF automation core.</w:t>
      </w:r>
    </w:p>
    <w:p w14:paraId="23B475EA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Stage four allows seamless execution through CI/CD pipelines.</w:t>
      </w:r>
    </w:p>
    <w:p w14:paraId="5D1C645A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2542C27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And stage five generates clear, leadership-ready reports.</w:t>
      </w:r>
    </w:p>
    <w:p w14:paraId="0D2A1231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22088A9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The key takeaway is that this pipeline is reusable across projects, not rebuilt each time.”</w:t>
      </w:r>
    </w:p>
    <w:p w14:paraId="3CB888F5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0E6B0642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👉</w:t>
      </w:r>
      <w:r w:rsidRPr="004E4F2F">
        <w:rPr>
          <w:rFonts w:ascii="Times New Roman" w:eastAsia="Times New Roman" w:hAnsi="Times New Roman" w:cs="Times New Roman"/>
        </w:rPr>
        <w:t xml:space="preserve"> Do NOT explain tools unless asked.</w:t>
      </w:r>
    </w:p>
    <w:p w14:paraId="3ADBD0FE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591584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ED70E6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3910EC1D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Project Coverage &amp; Automation Metrics</w:t>
      </w:r>
    </w:p>
    <w:p w14:paraId="593EF617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5F73BD3A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 (numbers with confidence):</w:t>
      </w:r>
    </w:p>
    <w:p w14:paraId="762F30F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0B77285D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“Today, PTAF actively supports multiple major initiatives.</w:t>
      </w:r>
    </w:p>
    <w:p w14:paraId="75543227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3A14EF1D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For example:</w:t>
      </w:r>
    </w:p>
    <w:p w14:paraId="5026096B" w14:textId="77777777" w:rsidR="004E4F2F" w:rsidRPr="004E4F2F" w:rsidRDefault="004E4F2F" w:rsidP="004E4F2F">
      <w:pPr>
        <w:pStyle w:val="Heading3"/>
        <w:rPr>
          <w:rFonts w:ascii="Helvetica Neue" w:eastAsia="Times New Roman" w:hAnsi="Helvetica Neue" w:cs="Times New Roman"/>
          <w:color w:val="0E0E0E"/>
          <w:sz w:val="21"/>
          <w:szCs w:val="21"/>
        </w:rPr>
      </w:pPr>
      <w:r w:rsidRPr="004E4F2F">
        <w:rPr>
          <w:rFonts w:ascii="Helvetica Neue" w:eastAsia="Times New Roman" w:hAnsi="Helvetica Neue" w:cs="Times New Roman"/>
          <w:color w:val="0E0E0E"/>
          <w:sz w:val="21"/>
          <w:szCs w:val="21"/>
        </w:rPr>
        <w:t>ARGO Connects has over 5,500 total test cases, with more than 3,600 already automated</w:t>
      </w:r>
    </w:p>
    <w:p w14:paraId="5E443E9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ARGO Teller Legacy is nearly fully automated</w:t>
      </w:r>
    </w:p>
    <w:p w14:paraId="7B20FB57" w14:textId="77777777" w:rsidR="004E4F2F" w:rsidRPr="004E4F2F" w:rsidRDefault="004E4F2F" w:rsidP="004E4F2F">
      <w:pPr>
        <w:pStyle w:val="Heading3"/>
        <w:rPr>
          <w:rFonts w:ascii="Helvetica Neue" w:eastAsia="Times New Roman" w:hAnsi="Helvetica Neue" w:cs="Times New Roman"/>
          <w:color w:val="0E0E0E"/>
          <w:sz w:val="21"/>
          <w:szCs w:val="21"/>
        </w:rPr>
      </w:pPr>
      <w:r w:rsidRPr="004E4F2F">
        <w:rPr>
          <w:rFonts w:ascii="Helvetica Neue" w:eastAsia="Times New Roman" w:hAnsi="Helvetica Neue" w:cs="Times New Roman"/>
          <w:color w:val="0E0E0E"/>
          <w:sz w:val="21"/>
          <w:szCs w:val="21"/>
        </w:rPr>
        <w:t>eCA has over 2,300 automated test cases</w:t>
      </w:r>
    </w:p>
    <w:p w14:paraId="3B57416D" w14:textId="77777777" w:rsidR="004E4F2F" w:rsidRPr="004E4F2F" w:rsidRDefault="004E4F2F" w:rsidP="004E4F2F">
      <w:pPr>
        <w:pStyle w:val="Heading3"/>
        <w:rPr>
          <w:rFonts w:ascii="Helvetica Neue" w:eastAsia="Times New Roman" w:hAnsi="Helvetica Neue" w:cs="Times New Roman"/>
          <w:color w:val="0E0E0E"/>
          <w:sz w:val="21"/>
          <w:szCs w:val="21"/>
        </w:rPr>
      </w:pPr>
      <w:r w:rsidRPr="004E4F2F">
        <w:rPr>
          <w:rFonts w:ascii="Helvetica Neue" w:eastAsia="Times New Roman" w:hAnsi="Helvetica Neue" w:cs="Times New Roman"/>
          <w:color w:val="0E0E0E"/>
          <w:sz w:val="21"/>
          <w:szCs w:val="21"/>
        </w:rPr>
        <w:t>Document Center is automated at over 95% coverage</w:t>
      </w:r>
    </w:p>
    <w:p w14:paraId="1D75C00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49538BD4" w14:textId="77777777" w:rsidR="004E4F2F" w:rsidRPr="004E4F2F" w:rsidRDefault="004E4F2F" w:rsidP="004E4F2F">
      <w:pPr>
        <w:pStyle w:val="Heading3"/>
        <w:rPr>
          <w:rFonts w:ascii="Helvetica Neue" w:eastAsia="Times New Roman" w:hAnsi="Helvetica Neue" w:cs="Times New Roman"/>
          <w:color w:val="0E0E0E"/>
          <w:sz w:val="21"/>
          <w:szCs w:val="21"/>
        </w:rPr>
      </w:pPr>
      <w:r w:rsidRPr="004E4F2F">
        <w:rPr>
          <w:rFonts w:ascii="Helvetica Neue" w:eastAsia="Times New Roman" w:hAnsi="Helvetica Neue" w:cs="Times New Roman"/>
          <w:color w:val="0E0E0E"/>
          <w:sz w:val="21"/>
          <w:szCs w:val="21"/>
        </w:rPr>
        <w:lastRenderedPageBreak/>
        <w:t>These numbers represent reduced manual effort, faster regression cycles, and lower production risk.”</w:t>
      </w:r>
    </w:p>
    <w:p w14:paraId="252816F7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0E05B822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Leadership framing line:</w:t>
      </w:r>
    </w:p>
    <w:p w14:paraId="0C759EE3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175D163A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“This is coverage that would not be sustainable with manual testing alone.”</w:t>
      </w:r>
    </w:p>
    <w:p w14:paraId="692A658A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0C4D953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86615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3051D46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Business Value (What Leadership Cares About)</w:t>
      </w:r>
    </w:p>
    <w:p w14:paraId="4E4F1072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4A36BDC1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311A74DF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5F026E18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“From a business perspective, PTAF delivers value in three ways.</w:t>
      </w:r>
    </w:p>
    <w:p w14:paraId="7B467BD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5A08C662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First, speed — regression cycles that took days are now completed in hours.</w:t>
      </w:r>
    </w:p>
    <w:p w14:paraId="1DAF8621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1B9625F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Second, risk reduction — consistent automated validation across releases.</w:t>
      </w:r>
    </w:p>
    <w:p w14:paraId="6FFFD42A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447B40A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And third, scalability — new projects can onboard without rebuilding automation from scratch.</w:t>
      </w:r>
    </w:p>
    <w:p w14:paraId="476B0D38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0E7080A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This allows teams to focus on delivery instead of rework.”</w:t>
      </w:r>
    </w:p>
    <w:p w14:paraId="6A2C5AA5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5ACC9F4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9E6540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519F2503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CI/CD &amp; Reusability</w:t>
      </w:r>
    </w:p>
    <w:p w14:paraId="615BB8FB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16D46DA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6E8015F4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42D733DE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“PTAF is fully compatible with CI/CD pipelines, meaning automation runs consistently with every build.</w:t>
      </w:r>
    </w:p>
    <w:p w14:paraId="54ED99A6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3A2C5284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lastRenderedPageBreak/>
        <w:t>More importantly, the same pipeline design can be reused across teams and applications, ensuring standardization without slowing delivery.</w:t>
      </w:r>
    </w:p>
    <w:p w14:paraId="51666A4B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61089F01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This turns automation into a shared enterprise capability, not a project-specific asset.”</w:t>
      </w:r>
    </w:p>
    <w:p w14:paraId="22C8C873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18CBA17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BEAA83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2CA0290D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Reporting &amp; Visibility</w:t>
      </w:r>
    </w:p>
    <w:p w14:paraId="175399D0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7D407BFA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2DE12799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31B8E323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“One of the most important outcomes is visibility.</w:t>
      </w:r>
    </w:p>
    <w:p w14:paraId="1CEE854B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057C3DFB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PTAF generates clear, actionable reports that show test results, failures, and trends in a way that’s useful not just for engineers, but for leadership.</w:t>
      </w:r>
    </w:p>
    <w:p w14:paraId="0A626E59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D300D97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This improves transparency, decision-making, and confidence during releases.”</w:t>
      </w:r>
    </w:p>
    <w:p w14:paraId="37866213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69121AB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6D5549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326D97F4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What Makes PTAF Different</w:t>
      </w:r>
    </w:p>
    <w:p w14:paraId="316B3B97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79D9E26C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36D04FE2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7095544F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“What makes PTAF different is not just automation — it’s intentional design.</w:t>
      </w:r>
    </w:p>
    <w:p w14:paraId="2BD05848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2D7861D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The framework was built to be maintainable, scalable, and reusable across teams.</w:t>
      </w:r>
    </w:p>
    <w:p w14:paraId="5140FD12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45398304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That means lower long-term cost, easier onboarding, and consistent quality standards across the organization.”</w:t>
      </w:r>
    </w:p>
    <w:p w14:paraId="4A64045F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08F997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089B22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37345366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Slide: What’s Next / Future Vision</w:t>
      </w:r>
    </w:p>
    <w:p w14:paraId="6D70470B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07626CC8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Script:</w:t>
      </w:r>
    </w:p>
    <w:p w14:paraId="65F3EAD4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5984AD5E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“Looking forward, PTAF can continue expanding into additional applications, API testing, and deeper pipeline integration.</w:t>
      </w:r>
    </w:p>
    <w:p w14:paraId="51FBCDA2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440C9B90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The foundation is already in place — future growth is incremental, not disruptive.</w:t>
      </w:r>
    </w:p>
    <w:p w14:paraId="32B8C9BE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76203D1C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This positions quality engineering as a long-term strategic enabler for FNB.”</w:t>
      </w:r>
    </w:p>
    <w:p w14:paraId="4DD55920" w14:textId="77777777" w:rsidR="004E4F2F" w:rsidRPr="004E4F2F" w:rsidRDefault="00BE00E6" w:rsidP="004E4F2F">
      <w:pPr>
        <w:pStyle w:val="Heading3"/>
        <w:rPr>
          <w:rFonts w:ascii="Times New Roman" w:eastAsia="Times New Roman" w:hAnsi="Times New Roman" w:cs="Times New Roman"/>
        </w:rPr>
      </w:pPr>
      <w:r w:rsidRPr="00BE00E6">
        <w:rPr>
          <w:rFonts w:ascii="Times New Roman" w:eastAsia="Times New Roman" w:hAnsi="Times New Roman" w:cs="Times New Roman"/>
          <w:noProof/>
        </w:rPr>
        <w:pict w14:anchorId="2C76BBF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C90781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Apple Color Emoji" w:eastAsia="Times New Roman" w:hAnsi="Apple Color Emoji" w:cs="Apple Color Emoji"/>
        </w:rPr>
        <w:t>🟦</w:t>
      </w:r>
      <w:r w:rsidRPr="004E4F2F">
        <w:rPr>
          <w:rFonts w:ascii="Times New Roman" w:eastAsia="Times New Roman" w:hAnsi="Times New Roman" w:cs="Times New Roman"/>
        </w:rPr>
        <w:t> </w:t>
      </w:r>
    </w:p>
    <w:p w14:paraId="1731A267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Final Slide – Closing</w:t>
      </w:r>
    </w:p>
    <w:p w14:paraId="66300848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5BBA9B34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Strong closing (very important):</w:t>
      </w:r>
    </w:p>
    <w:p w14:paraId="20E10D0F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74BEB2E4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“In summary, PTAF shifts quality from a reactive function to a proactive delivery partner.</w:t>
      </w:r>
    </w:p>
    <w:p w14:paraId="52E1C8BE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3ADEFADD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It reduces risk, increases speed, and creates reusable value across projects.</w:t>
      </w:r>
    </w:p>
    <w:p w14:paraId="174AC1F6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</w:p>
    <w:p w14:paraId="29FFAD65" w14:textId="77777777" w:rsidR="004E4F2F" w:rsidRPr="004E4F2F" w:rsidRDefault="004E4F2F" w:rsidP="004E4F2F">
      <w:pPr>
        <w:pStyle w:val="Heading3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4E4F2F">
        <w:rPr>
          <w:rFonts w:ascii=".AppleSystemUIFont" w:eastAsia="Times New Roman" w:hAnsi=".AppleSystemUIFont" w:cs="Times New Roman"/>
          <w:color w:val="0E0E0E"/>
          <w:sz w:val="21"/>
          <w:szCs w:val="21"/>
        </w:rPr>
        <w:t>Thank you for the opportunity to present this, and I’m happy to answer any questions.”</w:t>
      </w:r>
    </w:p>
    <w:p w14:paraId="50ABC9EA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</w:p>
    <w:p w14:paraId="696E081F" w14:textId="77777777" w:rsidR="004E4F2F" w:rsidRPr="004E4F2F" w:rsidRDefault="004E4F2F" w:rsidP="004E4F2F">
      <w:pPr>
        <w:pStyle w:val="Heading3"/>
        <w:rPr>
          <w:rFonts w:ascii="Times New Roman" w:eastAsia="Times New Roman" w:hAnsi="Times New Roman" w:cs="Times New Roman"/>
        </w:rPr>
      </w:pPr>
      <w:r w:rsidRPr="004E4F2F">
        <w:rPr>
          <w:rFonts w:ascii="Times New Roman" w:eastAsia="Times New Roman" w:hAnsi="Times New Roman" w:cs="Times New Roman"/>
        </w:rPr>
        <w:t>Stop. Don’t rush.</w:t>
      </w:r>
    </w:p>
    <w:p w14:paraId="103D901A" w14:textId="77777777" w:rsidR="00791C18" w:rsidRDefault="00791C18" w:rsidP="004E4F2F">
      <w:pPr>
        <w:pStyle w:val="Heading3"/>
      </w:pPr>
    </w:p>
    <w:sectPr w:rsidR="00791C18" w:rsidSect="004E4F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FAA"/>
    <w:multiLevelType w:val="multilevel"/>
    <w:tmpl w:val="D08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6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2F"/>
    <w:rsid w:val="003277A5"/>
    <w:rsid w:val="004E4F2F"/>
    <w:rsid w:val="005D0FC9"/>
    <w:rsid w:val="00791C18"/>
    <w:rsid w:val="00891115"/>
    <w:rsid w:val="00BE00E6"/>
    <w:rsid w:val="00D7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1B3C"/>
  <w15:chartTrackingRefBased/>
  <w15:docId w15:val="{FE7FAF3C-5384-1643-B8AC-AC93D82C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4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F2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4E4F2F"/>
  </w:style>
  <w:style w:type="paragraph" w:customStyle="1" w:styleId="p3">
    <w:name w:val="p3"/>
    <w:basedOn w:val="Normal"/>
    <w:rsid w:val="004E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E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E4F2F"/>
  </w:style>
  <w:style w:type="character" w:customStyle="1" w:styleId="apple-converted-space">
    <w:name w:val="apple-converted-space"/>
    <w:basedOn w:val="DefaultParagraphFont"/>
    <w:rsid w:val="004E4F2F"/>
  </w:style>
  <w:style w:type="character" w:customStyle="1" w:styleId="s3">
    <w:name w:val="s3"/>
    <w:basedOn w:val="DefaultParagraphFont"/>
    <w:rsid w:val="004E4F2F"/>
  </w:style>
  <w:style w:type="paragraph" w:customStyle="1" w:styleId="p2">
    <w:name w:val="p2"/>
    <w:basedOn w:val="Normal"/>
    <w:rsid w:val="004E4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Murodjon Azimov</dc:creator>
  <cp:keywords/>
  <dc:description/>
  <cp:lastModifiedBy>Murodjon Azimov</cp:lastModifiedBy>
  <cp:revision>1</cp:revision>
  <dcterms:created xsi:type="dcterms:W3CDTF">2026-02-03T18:33:00Z</dcterms:created>
  <dcterms:modified xsi:type="dcterms:W3CDTF">2026-02-03T18:34:00Z</dcterms:modified>
</cp:coreProperties>
</file>