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FNB-ETAF Security Architecture Review</w:t>
      </w:r>
    </w:p>
    <w:p>
      <w:pPr>
        <w:pStyle w:val="Heading2"/>
        <w:pStyle w:val="MdHeading2"/>
      </w:pPr>
      <w:r>
        <w:t xml:space="preserve">Individual Responses to Approval-Team Questions</w:t>
      </w:r>
    </w:p>
    <w:p>
      <w:pPr>
        <w:pStyle w:val="MdParagraph"/>
      </w:pPr>
      <w:r>
        <w:rPr>
          <w:rStyle w:val="MdStrong"/>
          <w:b/>
          <w:bCs/>
        </w:rPr>
        <w:t xml:space="preserve">Document purpose.</w:t>
      </w:r>
      <w:r>
        <w:t xml:space="preserve"> This document provides separate, paste-ready responses to every approval-team question visible in the supplied SAR review screenshots. It has been written for review by FNB Application Security, QA Engineering, Access Management, Security Operations, Records Management, Endpoint Engineering, DBA, and the applicable line of business (LOB).</w:t>
      </w:r>
    </w:p>
    <w:p>
      <w:pPr>
        <w:pStyle w:val="MdSpace"/>
        <w:spacing w:before="0" w:after="60"/>
      </w:pPr>
    </w:p>
    <w:p>
      <w:pPr>
        <w:pStyle w:val="MdBlockquote"/>
      </w:pPr>
      <w:r>
        <w:rPr>
          <w:rStyle w:val="MdStrong"/>
          <w:b/>
          <w:bCs/>
        </w:rPr>
        <w:t xml:space="preserve">Submission discipline.</w:t>
      </w:r>
      <w:r>
        <w:t xml:space="preserve"> The FNB-ETAF framework is an internal test-execution framework; it is not a customer-facing banking application and it does not independently own customer identities, business transactions, production data, a production database, or an enterprise logging platform. Where an answer depends on FNB policy, a named approver, an approved platform, a retention period, or a target application, the response identifies that dependency rather than inventing it.</w:t>
      </w:r>
    </w:p>
    <w:p>
      <w:pPr>
        <w:pStyle w:val="MdSpace"/>
        <w:spacing w:before="0" w:after="60"/>
      </w:pPr>
    </w:p>
    <w:p>
      <w:pPr>
        <w:pStyle w:val="Heading2"/>
        <w:pStyle w:val="MdHeading2"/>
      </w:pPr>
      <w:r>
        <w:t xml:space="preserve">Question 19 — Data Types, Test Data, and Test Evidence</w:t>
      </w:r>
    </w:p>
    <w:p>
      <w:pPr>
        <w:pStyle w:val="Heading3"/>
        <w:pStyle w:val="MdHeading3"/>
      </w:pPr>
      <w:r>
        <w:t xml:space="preserve">19.1 What controls ensure production or regulated customer data is not used during testing, for example masking or synthetic data?</w:t>
      </w:r>
    </w:p>
    <w:p>
      <w:pPr>
        <w:pStyle w:val="MdParagraph"/>
      </w:pPr>
      <w:r>
        <w:rPr>
          <w:rStyle w:val="MdStrong"/>
          <w:b/>
          <w:bCs/>
        </w:rPr>
        <w:t xml:space="preserve">Proposed response:</w:t>
      </w:r>
    </w:p>
    <w:p>
      <w:pPr>
        <w:pStyle w:val="MdSpace"/>
        <w:spacing w:before="0" w:after="60"/>
      </w:pPr>
    </w:p>
    <w:p>
      <w:pPr>
        <w:pStyle w:val="MdParagraph"/>
      </w:pPr>
      <w:r>
        <w:t xml:space="preserve">FNB-ETAF does not obtain, copy, migrate, or generate production customer data. Test execution must be restricted to FNB-approved non-production environments and approved test accounts. Test data used by the framework must be synthetic, masked, tokenized, or otherwise prepared through the target application’s approved FNB test-data-management process. The framework does not include a capability to clone production databases or extract production records.</w:t>
      </w:r>
    </w:p>
    <w:p>
      <w:pPr>
        <w:pStyle w:val="MdSpace"/>
        <w:spacing w:before="0" w:after="60"/>
      </w:pPr>
    </w:p>
    <w:p>
      <w:pPr>
        <w:pStyle w:val="MdParagraph"/>
      </w:pPr>
      <w:r>
        <w:t xml:space="preserve">Where a target application requires data that resembles regulated information for functional testing, the application owner, data owner, Privacy, and Test Data Management teams must approve the dataset, the masking method, the permitted environment, and the evidence-handling requirements before execution. Production customer data is prohibited unless a separately approved FNB exception and documented control set exist.</w:t>
      </w:r>
    </w:p>
    <w:p>
      <w:pPr>
        <w:pStyle w:val="MdSpace"/>
        <w:spacing w:before="0" w:after="60"/>
      </w:pPr>
    </w:p>
    <w:p>
      <w:pPr>
        <w:pStyle w:val="MdParagraph"/>
      </w:pPr>
      <w:r>
        <w:rPr>
          <w:rStyle w:val="MdStrong"/>
          <w:b/>
          <w:bCs/>
        </w:rPr>
        <w:t xml:space="preserve">FNB confirmation required before submission:</w:t>
      </w:r>
      <w:r>
        <w:t xml:space="preserve"> Identify the governing test-data policy, the target application’s data owner, the approved masking/synthetic-data process, and the exception authority for any permitted production-derived data.</w:t>
      </w:r>
    </w:p>
    <w:p>
      <w:pPr>
        <w:pStyle w:val="MdSpace"/>
        <w:spacing w:before="0" w:after="60"/>
      </w:pPr>
    </w:p>
    <w:p>
      <w:pPr>
        <w:pStyle w:val="Heading3"/>
        <w:pStyle w:val="MdHeading3"/>
      </w:pPr>
      <w:r>
        <w:t xml:space="preserve">19.2 Can screenshots, reports, logs, or video recordings contain customer or regulated data? If so, how are they protected?</w:t>
      </w:r>
    </w:p>
    <w:p>
      <w:pPr>
        <w:pStyle w:val="MdParagraph"/>
      </w:pPr>
      <w:r>
        <w:rPr>
          <w:rStyle w:val="MdStrong"/>
          <w:b/>
          <w:bCs/>
        </w:rPr>
        <w:t xml:space="preserve">Proposed response:</w:t>
      </w:r>
    </w:p>
    <w:p>
      <w:pPr>
        <w:pStyle w:val="MdSpace"/>
        <w:spacing w:before="0" w:after="60"/>
      </w:pPr>
    </w:p>
    <w:p>
      <w:pPr>
        <w:pStyle w:val="MdParagraph"/>
      </w:pPr>
      <w:r>
        <w:t xml:space="preserve">Yes. Although FNB-ETAF is designed to use non-production synthetic or masked test data, screenshots, HTML/PDF reports, console logs, Playwright traces, page-source files, and optional video recordings can capture what is displayed by a target application at runtime. This includes the possibility of confidential information or regulated test data if the target application presents it on screen, in an API response, or in an error message.</w:t>
      </w:r>
    </w:p>
    <w:p>
      <w:pPr>
        <w:pStyle w:val="MdSpace"/>
        <w:spacing w:before="0" w:after="60"/>
      </w:pPr>
    </w:p>
    <w:p>
      <w:pPr>
        <w:pStyle w:val="MdParagraph"/>
      </w:pPr>
      <w:r>
        <w:t xml:space="preserve">Evidence capture is limited to approved testing purposes. Captured artifacts must be classified according to the highest classification of the content they contain and stored only in FNB-approved execution, CI/CD artifact, or evidence repositories. Access must be restricted to authorized QA, application-support, security, audit, and delivery personnel with a business need. Where sensitive data cannot be avoided, the target application team must use masked test data, redact the relevant artifacts before sharing, or disable/limit evidence capture on protected screens. The framework will not be used to bypass banking-application protections that prevent screenshots or recordings.</w:t>
      </w:r>
    </w:p>
    <w:p>
      <w:pPr>
        <w:pStyle w:val="MdSpace"/>
        <w:spacing w:before="0" w:after="60"/>
      </w:pPr>
    </w:p>
    <w:p>
      <w:pPr>
        <w:pStyle w:val="MdParagraph"/>
      </w:pPr>
      <w:r>
        <w:rPr>
          <w:rStyle w:val="MdStrong"/>
          <w:b/>
          <w:bCs/>
        </w:rPr>
        <w:t xml:space="preserve">FNB confirmation required before submission:</w:t>
      </w:r>
      <w:r>
        <w:t xml:space="preserve"> Confirm the approved artifact repository, artifact classification, encryption-at-rest requirement, permitted audience, and whether masking/redaction is mandatory for the named target applications.</w:t>
      </w:r>
    </w:p>
    <w:p>
      <w:pPr>
        <w:pStyle w:val="MdSpace"/>
        <w:spacing w:before="0" w:after="60"/>
      </w:pPr>
    </w:p>
    <w:p>
      <w:pPr>
        <w:pStyle w:val="Heading3"/>
        <w:pStyle w:val="MdHeading3"/>
      </w:pPr>
      <w:r>
        <w:t xml:space="preserve">19.3 How are logs, reports, screenshots, and recordings secured, and who has access to them?</w:t>
      </w:r>
    </w:p>
    <w:p>
      <w:pPr>
        <w:pStyle w:val="MdParagraph"/>
      </w:pPr>
      <w:r>
        <w:rPr>
          <w:rStyle w:val="MdStrong"/>
          <w:b/>
          <w:bCs/>
        </w:rPr>
        <w:t xml:space="preserve">Proposed response:</w:t>
      </w:r>
    </w:p>
    <w:p>
      <w:pPr>
        <w:pStyle w:val="MdSpace"/>
        <w:spacing w:before="0" w:after="60"/>
      </w:pPr>
    </w:p>
    <w:p>
      <w:pPr>
        <w:pStyle w:val="MdParagraph"/>
      </w:pPr>
      <w:r>
        <w:t xml:space="preserve">FNB-ETAF writes execution logs and test artifacts to the approved developer-workstation workspace or the approved CI/CD job workspace. The framework does not expose artifacts through a public web interface and does not transmit them to an external service by default. Access is controlled by the access controls of the FNB-managed workstation, source repository, CI/CD platform, and approved artifact storage location.</w:t>
      </w:r>
    </w:p>
    <w:p>
      <w:pPr>
        <w:pStyle w:val="MdSpace"/>
        <w:spacing w:before="0" w:after="60"/>
      </w:pPr>
    </w:p>
    <w:p>
      <w:pPr>
        <w:pStyle w:val="MdParagraph"/>
      </w:pPr>
      <w:r>
        <w:t xml:space="preserve">Access must be granted on a least-privilege, business-need basis. Expected access roles are the FNB-ETAF Framework Owner, authorized QA automation engineers, the target application team for its own test evidence, designated CI/CD administrators, Security Operations where security monitoring is required, and Audit/Compliance personnel where evidence is retained for a controlled review. Artifact access must not be granted to external parties unless separately approved through FNB third-party access controls.</w:t>
      </w:r>
    </w:p>
    <w:p>
      <w:pPr>
        <w:pStyle w:val="MdSpace"/>
        <w:spacing w:before="0" w:after="60"/>
      </w:pPr>
    </w:p>
    <w:p>
      <w:pPr>
        <w:pStyle w:val="MdParagraph"/>
      </w:pPr>
      <w:r>
        <w:rPr>
          <w:rStyle w:val="MdStrong"/>
          <w:b/>
          <w:bCs/>
        </w:rPr>
        <w:t xml:space="preserve">FNB confirmation required before submission:</w:t>
      </w:r>
      <w:r>
        <w:t xml:space="preserve"> Name the approved storage platform and access groups; confirm encryption at rest, access-review frequency, and whether artifact download/audit logging is required.</w:t>
      </w:r>
    </w:p>
    <w:p>
      <w:pPr>
        <w:pStyle w:val="MdSpace"/>
        <w:spacing w:before="0" w:after="60"/>
      </w:pPr>
    </w:p>
    <w:p>
      <w:pPr>
        <w:pStyle w:val="Heading3"/>
        <w:pStyle w:val="MdHeading3"/>
      </w:pPr>
      <w:r>
        <w:t xml:space="preserve">19.4 What are the retention requirements for logs?</w:t>
      </w:r>
    </w:p>
    <w:p>
      <w:pPr>
        <w:pStyle w:val="MdParagraph"/>
      </w:pPr>
      <w:r>
        <w:rPr>
          <w:rStyle w:val="MdStrong"/>
          <w:b/>
          <w:bCs/>
        </w:rPr>
        <w:t xml:space="preserve">Proposed response:</w:t>
      </w:r>
    </w:p>
    <w:p>
      <w:pPr>
        <w:pStyle w:val="MdSpace"/>
        <w:spacing w:before="0" w:after="60"/>
      </w:pPr>
    </w:p>
    <w:p>
      <w:pPr>
        <w:pStyle w:val="MdParagraph"/>
      </w:pPr>
      <w:r>
        <w:t xml:space="preserve">FNB-ETAF does not define an independent enterprise retention period. Retention is governed by the applicable FNB records-management, information-security, audit, SOX-evidence, privacy, and CI/CD artifact-retention policies. Operational execution logs, test reports, screenshots, videos, trace files, and page-source evidence must have a documented retention schedule based on their content classification and purpose.</w:t>
      </w:r>
    </w:p>
    <w:p>
      <w:pPr>
        <w:pStyle w:val="MdSpace"/>
        <w:spacing w:before="0" w:after="60"/>
      </w:pPr>
    </w:p>
    <w:p>
      <w:pPr>
        <w:pStyle w:val="MdParagraph"/>
      </w:pPr>
      <w:r>
        <w:t xml:space="preserve">For routine non-production QA evidence, the framework owner will apply the retention period configured by the approved CI/CD or artifact platform. For evidence supporting SOX-relevant controls, release approval, incident analysis, or audit activity, retention must follow the applicable FNB control/evidence schedule and any active legal-hold requirement. Sensitive artifacts must not be retained longer than the approved business, audit, or regulatory requirement.</w:t>
      </w:r>
    </w:p>
    <w:p>
      <w:pPr>
        <w:pStyle w:val="MdSpace"/>
        <w:spacing w:before="0" w:after="60"/>
      </w:pPr>
    </w:p>
    <w:p>
      <w:pPr>
        <w:pStyle w:val="MdParagraph"/>
      </w:pPr>
      <w:r>
        <w:rPr>
          <w:rStyle w:val="MdStrong"/>
          <w:b/>
          <w:bCs/>
        </w:rPr>
        <w:t xml:space="preserve">FNB confirmation required before submission:</w:t>
      </w:r>
      <w:r>
        <w:t xml:space="preserve"> Provide the authoritative retention periods for operational logs, CI/CD logs, routine test evidence, SOX/release evidence, and the legal-hold process.</w:t>
      </w:r>
    </w:p>
    <w:p>
      <w:pPr>
        <w:pStyle w:val="MdSpace"/>
        <w:spacing w:before="0" w:after="60"/>
      </w:pPr>
    </w:p>
    <w:p>
      <w:pPr>
        <w:pStyle w:val="Heading3"/>
        <w:pStyle w:val="MdHeading3"/>
      </w:pPr>
      <w:r>
        <w:t xml:space="preserve">19.5 How are expired artifacts disposed of, and do retention/disposal processes comply with FNB Audit and SOX requirements?</w:t>
      </w:r>
    </w:p>
    <w:p>
      <w:pPr>
        <w:pStyle w:val="MdParagraph"/>
      </w:pPr>
      <w:r>
        <w:rPr>
          <w:rStyle w:val="MdStrong"/>
          <w:b/>
          <w:bCs/>
        </w:rPr>
        <w:t xml:space="preserve">Proposed response:</w:t>
      </w:r>
    </w:p>
    <w:p>
      <w:pPr>
        <w:pStyle w:val="MdSpace"/>
        <w:spacing w:before="0" w:after="60"/>
      </w:pPr>
    </w:p>
    <w:p>
      <w:pPr>
        <w:pStyle w:val="MdParagraph"/>
      </w:pPr>
      <w:r>
        <w:t xml:space="preserve">Expired FNB-ETAF artifacts must be disposed of through the lifecycle controls of the approved storage platform. For centrally stored CI/CD artifacts, the approved platform’s retention policy should automatically delete artifacts after the configured period. For developer-workstation artifacts, the framework owner and workstation user must follow the FNB-approved cleanup, retention, and secure-disposal process. Manual deletion must not occur where a legal hold, incident investigation, audit request, or SOX evidence requirement applies.</w:t>
      </w:r>
    </w:p>
    <w:p>
      <w:pPr>
        <w:pStyle w:val="MdSpace"/>
        <w:spacing w:before="0" w:after="60"/>
      </w:pPr>
    </w:p>
    <w:p>
      <w:pPr>
        <w:pStyle w:val="MdParagraph"/>
      </w:pPr>
      <w:r>
        <w:t xml:space="preserve">The framework does not independently certify SOX retention compliance. Compliance is achieved by storing any SOX-relevant evidence only in FNB-approved repositories with retention, access-control, audit, and disposal capabilities approved by FNB Audit, Records Management, and Compliance. Evidence that exceeds its approved retention period must be deleted or disposed of using the approved platform/process and must no longer remain in unapproved local workspaces or shared folders.</w:t>
      </w:r>
    </w:p>
    <w:p>
      <w:pPr>
        <w:pStyle w:val="MdSpace"/>
        <w:spacing w:before="0" w:after="60"/>
      </w:pPr>
    </w:p>
    <w:p>
      <w:pPr>
        <w:pStyle w:val="MdParagraph"/>
      </w:pPr>
      <w:r>
        <w:rPr>
          <w:rStyle w:val="MdStrong"/>
          <w:b/>
          <w:bCs/>
        </w:rPr>
        <w:t xml:space="preserve">FNB confirmation required before submission:</w:t>
      </w:r>
      <w:r>
        <w:t xml:space="preserve"> Confirm the approved disposal process, responsible owner, audit/SOX evidence schedule, legal-hold handling, and any required deletion certificate or audit record.</w:t>
      </w:r>
    </w:p>
    <w:p>
      <w:pPr>
        <w:pStyle w:val="MdSpace"/>
        <w:spacing w:before="0" w:after="60"/>
      </w:pPr>
    </w:p>
    <w:p>
      <w:pPr>
        <w:pStyle w:val="Heading2"/>
        <w:pStyle w:val="MdHeading2"/>
      </w:pPr>
      <w:r>
        <w:t xml:space="preserve">Question 20 — Development, Secure SDLC, and Security Testing</w:t>
      </w:r>
    </w:p>
    <w:p>
      <w:pPr>
        <w:pStyle w:val="Heading3"/>
        <w:pStyle w:val="MdHeading3"/>
      </w:pPr>
      <w:r>
        <w:t xml:space="preserve">20.1 What secure SDLC controls are in place?</w:t>
      </w:r>
    </w:p>
    <w:p>
      <w:pPr>
        <w:pStyle w:val="MdParagraph"/>
      </w:pPr>
      <w:r>
        <w:rPr>
          <w:rStyle w:val="MdStrong"/>
          <w:b/>
          <w:bCs/>
        </w:rPr>
        <w:t xml:space="preserve">Proposed response:</w:t>
      </w:r>
    </w:p>
    <w:p>
      <w:pPr>
        <w:pStyle w:val="MdSpace"/>
        <w:spacing w:before="0" w:after="60"/>
      </w:pPr>
    </w:p>
    <w:p>
      <w:pPr>
        <w:pStyle w:val="MdParagraph"/>
      </w:pPr>
      <w:r>
        <w:t xml:space="preserve">FNB-ETAF is maintained through an FNB-controlled development lifecycle. Required controls include authenticated source-repository access; role-based permissions; branch protection for release branches; peer review through pull requests; documented change approval; build and test validation before release; versioned dependencies; prohibition of credentials, tokens, keys, and regulated test data in source control; and separation of development, testing, and production-like execution environments.</w:t>
      </w:r>
    </w:p>
    <w:p>
      <w:pPr>
        <w:pStyle w:val="MdSpace"/>
        <w:spacing w:before="0" w:after="60"/>
      </w:pPr>
    </w:p>
    <w:p>
      <w:pPr>
        <w:pStyle w:val="MdParagraph"/>
      </w:pPr>
      <w:r>
        <w:t xml:space="preserve">Before a framework change is released for shared use, the change must be linked to the applicable work item/change record, reviewed by an authorized peer, validated by the CI/CD build, and approved according to FNB change-management requirements. Security requirements are integrated into the lifecycle through secure-coding review, dependency review, secrets-control checks, and remediation tracking. These practices align with the objective of integrating secure development practices into an organization’s existing SDLC. [1]</w:t>
      </w:r>
    </w:p>
    <w:p>
      <w:pPr>
        <w:pStyle w:val="MdSpace"/>
        <w:spacing w:before="0" w:after="60"/>
      </w:pPr>
    </w:p>
    <w:p>
      <w:pPr>
        <w:pStyle w:val="MdParagraph"/>
      </w:pPr>
      <w:r>
        <w:rPr>
          <w:rStyle w:val="MdStrong"/>
          <w:b/>
          <w:bCs/>
        </w:rPr>
        <w:t xml:space="preserve">FNB confirmation required before submission:</w:t>
      </w:r>
      <w:r>
        <w:t xml:space="preserve"> Name the FNB source repository, branch-protection settings, change-management system, release approver role, required peer-review rule, and any mandatory code-proxy requirement.</w:t>
      </w:r>
    </w:p>
    <w:p>
      <w:pPr>
        <w:pStyle w:val="MdSpace"/>
        <w:spacing w:before="0" w:after="60"/>
      </w:pPr>
    </w:p>
    <w:p>
      <w:pPr>
        <w:pStyle w:val="Heading3"/>
        <w:pStyle w:val="MdHeading3"/>
      </w:pPr>
      <w:r>
        <w:t xml:space="preserve">20.2 What security testing tools are used, and how are findings tracked through remediation?</w:t>
      </w:r>
    </w:p>
    <w:p>
      <w:pPr>
        <w:pStyle w:val="MdParagraph"/>
      </w:pPr>
      <w:r>
        <w:rPr>
          <w:rStyle w:val="MdStrong"/>
          <w:b/>
          <w:bCs/>
        </w:rPr>
        <w:t xml:space="preserve">Proposed response:</w:t>
      </w:r>
    </w:p>
    <w:p>
      <w:pPr>
        <w:pStyle w:val="MdSpace"/>
        <w:spacing w:before="0" w:after="60"/>
      </w:pPr>
    </w:p>
    <w:p>
      <w:pPr>
        <w:pStyle w:val="MdParagraph"/>
      </w:pPr>
      <w:r>
        <w:t xml:space="preserve">The framework uses Maven dependency management and can use OWASP Dependency-Check for software-composition analysis (SCA). Dependency-Check identifies known publicly disclosed vulnerabilities in project dependencies and can produce a report that links identified components to associated CVE entries. [2] Dependency and security-tool findings must be reviewed through the FNB-approved vulnerability-management workflow; this includes assessment, ownership assignment, remediation planning, retesting, closure validation, or a formally approved exception.</w:t>
      </w:r>
    </w:p>
    <w:p>
      <w:pPr>
        <w:pStyle w:val="MdSpace"/>
        <w:spacing w:before="0" w:after="60"/>
      </w:pPr>
    </w:p>
    <w:p>
      <w:pPr>
        <w:pStyle w:val="MdParagraph"/>
      </w:pPr>
      <w:r>
        <w:t xml:space="preserve">FNB-ETAF should be scanned using the FNB-approved security toolchain for the repository. The expected control categories are SAST/source-code scanning, secrets scanning, SCA/dependency scanning, CI/CD pipeline controls, and—where warranted by a deployment model—dynamic testing or penetration testing. The framework is not intended to replace enterprise security testing; it provides test execution and evidence while FNB-approved security tools provide the authoritative scanning and finding-management controls.</w:t>
      </w:r>
    </w:p>
    <w:p>
      <w:pPr>
        <w:pStyle w:val="MdSpace"/>
        <w:spacing w:before="0" w:after="60"/>
      </w:pPr>
    </w:p>
    <w:p>
      <w:pPr>
        <w:pStyle w:val="MdParagraph"/>
      </w:pPr>
      <w:r>
        <w:rPr>
          <w:rStyle w:val="MdStrong"/>
          <w:b/>
          <w:bCs/>
        </w:rPr>
        <w:t xml:space="preserve">FNB confirmation required before submission:</w:t>
      </w:r>
      <w:r>
        <w:t xml:space="preserve"> Identify the actual FNB-approved tools, scan frequency, severity thresholds, ticketing system, vulnerability owner, remediation workflow, and the location of retained scan evidence. Do not state that a tool is operational until it is confirmed in the approved FNB pipeline.</w:t>
      </w:r>
    </w:p>
    <w:p>
      <w:pPr>
        <w:pStyle w:val="MdSpace"/>
        <w:spacing w:before="0" w:after="60"/>
      </w:pPr>
    </w:p>
    <w:p>
      <w:pPr>
        <w:pStyle w:val="Heading3"/>
        <w:pStyle w:val="MdHeading3"/>
      </w:pPr>
      <w:r>
        <w:t xml:space="preserve">20.3 Are code changes subject to formal review and approval prior to deployment?</w:t>
      </w:r>
    </w:p>
    <w:p>
      <w:pPr>
        <w:pStyle w:val="MdParagraph"/>
      </w:pPr>
      <w:r>
        <w:rPr>
          <w:rStyle w:val="MdStrong"/>
          <w:b/>
          <w:bCs/>
        </w:rPr>
        <w:t xml:space="preserve">Proposed response:</w:t>
      </w:r>
    </w:p>
    <w:p>
      <w:pPr>
        <w:pStyle w:val="MdSpace"/>
        <w:spacing w:before="0" w:after="60"/>
      </w:pPr>
    </w:p>
    <w:p>
      <w:pPr>
        <w:pStyle w:val="MdParagraph"/>
      </w:pPr>
      <w:r>
        <w:t xml:space="preserve">Yes. All changes proposed for shared FNB-ETAF use must be submitted through the FNB-controlled source-management and change-management process. At a minimum, a pull request must receive peer review, required automated build/test checks must pass, and the designated release/change approver must approve the change before it is merged or released to a shared execution environment. Emergency changes, if permitted, must follow the applicable FNB emergency-change process and receive retrospective review where required.</w:t>
      </w:r>
    </w:p>
    <w:p>
      <w:pPr>
        <w:pStyle w:val="MdSpace"/>
        <w:spacing w:before="0" w:after="60"/>
      </w:pPr>
    </w:p>
    <w:p>
      <w:pPr>
        <w:pStyle w:val="MdParagraph"/>
      </w:pPr>
      <w:r>
        <w:t xml:space="preserve">The framework owner is accountable for ensuring that only approved releases are used by shared QA teams or CI/CD pipelines. Direct, unreviewed modification of release-controlled framework code is not an approved deployment mechanism.</w:t>
      </w:r>
    </w:p>
    <w:p>
      <w:pPr>
        <w:pStyle w:val="MdSpace"/>
        <w:spacing w:before="0" w:after="60"/>
      </w:pPr>
    </w:p>
    <w:p>
      <w:pPr>
        <w:pStyle w:val="MdParagraph"/>
      </w:pPr>
      <w:r>
        <w:rPr>
          <w:rStyle w:val="MdStrong"/>
          <w:b/>
          <w:bCs/>
        </w:rPr>
        <w:t xml:space="preserve">FNB confirmation required before submission:</w:t>
      </w:r>
      <w:r>
        <w:t xml:space="preserve"> Confirm the exact approval workflow, number/role of reviewers, required automated checks, emergency-change process, and whether a formal CAB or release-manager approval is required.</w:t>
      </w:r>
    </w:p>
    <w:p>
      <w:pPr>
        <w:pStyle w:val="MdSpace"/>
        <w:spacing w:before="0" w:after="60"/>
      </w:pPr>
    </w:p>
    <w:p>
      <w:pPr>
        <w:pStyle w:val="Heading2"/>
        <w:pStyle w:val="MdHeading2"/>
      </w:pPr>
      <w:r>
        <w:t xml:space="preserve">Question 21 — Maintenance and Vulnerability Management</w:t>
      </w:r>
    </w:p>
    <w:p>
      <w:pPr>
        <w:pStyle w:val="Heading3"/>
        <w:pStyle w:val="MdHeading3"/>
      </w:pPr>
      <w:r>
        <w:t xml:space="preserve">21.1 Could you please provide the remediation SLAs for critical, high, and medium vulnerabilities?</w:t>
      </w:r>
    </w:p>
    <w:p>
      <w:pPr>
        <w:pStyle w:val="MdParagraph"/>
      </w:pPr>
      <w:r>
        <w:rPr>
          <w:rStyle w:val="MdStrong"/>
          <w:b/>
          <w:bCs/>
        </w:rPr>
        <w:t xml:space="preserve">Proposed response:</w:t>
      </w:r>
    </w:p>
    <w:p>
      <w:pPr>
        <w:pStyle w:val="MdSpace"/>
        <w:spacing w:before="0" w:after="60"/>
      </w:pPr>
    </w:p>
    <w:p>
      <w:pPr>
        <w:pStyle w:val="MdParagraph"/>
      </w:pPr>
      <w:r>
        <w:t xml:space="preserve">FNB-ETAF will follow the current FNB vulnerability-management policy and the remediation timeframes assigned by FNB Application Security/Vulnerability Management. The framework owner will review findings from approved security tools, assign an accountable owner, document remediation or a compensating-control plan, retest the remediation, and retain evidence of closure or approved exception.</w:t>
      </w:r>
    </w:p>
    <w:p>
      <w:pPr>
        <w:pStyle w:val="MdSpace"/>
        <w:spacing w:before="0" w:after="60"/>
      </w:pPr>
    </w:p>
    <w:p>
      <w:pPr>
        <w:pStyle w:val="MdParagraph"/>
      </w:pPr>
      <w:r>
        <w:t xml:space="preserve">The specific numeric SLA values for Critical, High, and Medium findings should be inserted from the current FNB policy rather than created in this SAR. The response below is ready for completion once FNB provides the values: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Severity</w:t>
            </w:r>
          </w:p>
        </w:tc>
        <w:tc>
          <w:tcPr>
            <w:tcMar>
              <w:top w:type="dxa" w:w="100"/>
              <w:left w:type="dxa" w:w="120"/>
              <w:bottom w:type="dxa" w:w="100"/>
              <w:right w:type="dxa" w:w="120"/>
            </w:tcMar>
            <w:vAlign w:val="center"/>
          </w:tcPr>
          <w:p>
            <w:pPr>
              <w:pStyle w:val="MdTableHeader"/>
              <w:jc w:val="right"/>
            </w:pPr>
            <w:r>
              <w:t xml:space="preserve">FNB-approved remediation target</w:t>
            </w:r>
          </w:p>
        </w:tc>
        <w:tc>
          <w:tcPr>
            <w:tcMar>
              <w:top w:type="dxa" w:w="100"/>
              <w:left w:type="dxa" w:w="120"/>
              <w:bottom w:type="dxa" w:w="100"/>
              <w:right w:type="dxa" w:w="120"/>
            </w:tcMar>
            <w:vAlign w:val="center"/>
          </w:tcPr>
          <w:p>
            <w:pPr>
              <w:pStyle w:val="MdTableHeader"/>
            </w:pPr>
            <w:r>
              <w:t xml:space="preserve">Accountable owner</w:t>
            </w:r>
          </w:p>
        </w:tc>
        <w:tc>
          <w:tcPr>
            <w:tcBorders>
              <w:right w:val="none"/>
            </w:tcBorders>
            <w:tcMar>
              <w:top w:type="dxa" w:w="100"/>
              <w:left w:type="dxa" w:w="120"/>
              <w:bottom w:type="dxa" w:w="100"/>
              <w:right w:type="dxa" w:w="120"/>
            </w:tcMar>
            <w:vAlign w:val="center"/>
          </w:tcPr>
          <w:p>
            <w:pPr>
              <w:pStyle w:val="MdTableHeader"/>
            </w:pPr>
            <w:r>
              <w:t xml:space="preserve">Evidence of closure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Critical</w:t>
            </w:r>
          </w:p>
        </w:tc>
        <w:tc>
          <w:tcPr>
            <w:tcMar>
              <w:top w:type="dxa" w:w="80"/>
              <w:left w:type="dxa" w:w="120"/>
              <w:bottom w:type="dxa" w:w="80"/>
              <w:right w:type="dxa" w:w="120"/>
            </w:tcMar>
            <w:vAlign w:val="center"/>
          </w:tcPr>
          <w:p>
            <w:pPr>
              <w:pStyle w:val="MdTableCell"/>
              <w:jc w:val="right"/>
            </w:pPr>
            <w:r>
              <w:rPr>
                <w:rStyle w:val="MdStrong"/>
                <w:b/>
                <w:bCs/>
              </w:rPr>
              <w:t xml:space="preserve">[Insert current FNB SLA]</w:t>
            </w:r>
          </w:p>
        </w:tc>
        <w:tc>
          <w:tcPr>
            <w:tcMar>
              <w:top w:type="dxa" w:w="80"/>
              <w:left w:type="dxa" w:w="120"/>
              <w:bottom w:type="dxa" w:w="80"/>
              <w:right w:type="dxa" w:w="120"/>
            </w:tcMar>
            <w:vAlign w:val="center"/>
          </w:tcPr>
          <w:p>
            <w:pPr>
              <w:pStyle w:val="MdTableCell"/>
            </w:pPr>
            <w:r>
              <w:t xml:space="preserve">Framework Owner with Application Security oversight</w:t>
            </w:r>
          </w:p>
        </w:tc>
        <w:tc>
          <w:tcPr>
            <w:tcBorders>
              <w:right w:val="none"/>
            </w:tcBorders>
            <w:tcMar>
              <w:top w:type="dxa" w:w="80"/>
              <w:left w:type="dxa" w:w="120"/>
              <w:bottom w:type="dxa" w:w="80"/>
              <w:right w:type="dxa" w:w="120"/>
            </w:tcMar>
            <w:vAlign w:val="center"/>
          </w:tcPr>
          <w:p>
            <w:pPr>
              <w:pStyle w:val="MdTableCell"/>
            </w:pPr>
            <w:r>
              <w:t xml:space="preserve">Remediation PR/change record, scan result, validation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rPr>
                <w:rStyle w:val="MdStrong"/>
                <w:b/>
                <w:bCs/>
              </w:rPr>
              <w:t xml:space="preserve">[Insert current FNB SLA]</w:t>
            </w:r>
          </w:p>
        </w:tc>
        <w:tc>
          <w:tcPr>
            <w:tcMar>
              <w:top w:type="dxa" w:w="80"/>
              <w:left w:type="dxa" w:w="120"/>
              <w:bottom w:type="dxa" w:w="80"/>
              <w:right w:type="dxa" w:w="120"/>
            </w:tcMar>
            <w:vAlign w:val="center"/>
          </w:tcPr>
          <w:p>
            <w:pPr>
              <w:pStyle w:val="MdTableCell"/>
            </w:pPr>
            <w:r>
              <w:t xml:space="preserve">Framework Owner</w:t>
            </w:r>
          </w:p>
        </w:tc>
        <w:tc>
          <w:tcPr>
            <w:tcBorders>
              <w:right w:val="none"/>
            </w:tcBorders>
            <w:tcMar>
              <w:top w:type="dxa" w:w="80"/>
              <w:left w:type="dxa" w:w="120"/>
              <w:bottom w:type="dxa" w:w="80"/>
              <w:right w:type="dxa" w:w="120"/>
            </w:tcMar>
            <w:vAlign w:val="center"/>
          </w:tcPr>
          <w:p>
            <w:pPr>
              <w:pStyle w:val="MdTableCell"/>
            </w:pPr>
            <w:r>
              <w:t xml:space="preserve">Remediation PR/change record, scan result, validation result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[Insert current FNB SLA]</w:t>
            </w:r>
          </w:p>
        </w:tc>
        <w:tc>
          <w:tcPr>
            <w:tcBorders>
              <w:bottom w:val="single" w:color="E1E4E8" w:sz="4"/>
            </w:tcBorders>
            <w:tcMar>
              <w:top w:type="dxa" w:w="80"/>
              <w:left w:type="dxa" w:w="120"/>
              <w:bottom w:type="dxa" w:w="80"/>
              <w:right w:type="dxa" w:w="120"/>
            </w:tcMar>
            <w:vAlign w:val="center"/>
          </w:tcPr>
          <w:p>
            <w:pPr>
              <w:pStyle w:val="MdTableCell"/>
            </w:pPr>
            <w:r>
              <w:t xml:space="preserve">Framework Owner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Planned remediation record, scan result, validation result</w:t>
            </w:r>
          </w:p>
        </w:tc>
      </w:tr>
    </w:tbl>
    <w:p>
      <w:pPr>
        <w:pStyle w:val="MdParagraph"/>
      </w:pPr>
      <w:r>
        <w:rPr>
          <w:rStyle w:val="MdStrong"/>
          <w:b/>
          <w:bCs/>
        </w:rPr>
        <w:t xml:space="preserve">FNB confirmation required before submission:</w:t>
      </w:r>
      <w:r>
        <w:t xml:space="preserve"> Obtain the current published SLA values and the applicable severity-scoring source from Vulnerability Management.</w:t>
      </w:r>
    </w:p>
    <w:p>
      <w:pPr>
        <w:pStyle w:val="MdSpace"/>
        <w:spacing w:before="0" w:after="60"/>
      </w:pPr>
    </w:p>
    <w:p>
      <w:pPr>
        <w:pStyle w:val="Heading3"/>
        <w:pStyle w:val="MdHeading3"/>
      </w:pPr>
      <w:r>
        <w:t xml:space="preserve">21.2 How are zero-day vulnerabilities evaluated?</w:t>
      </w:r>
    </w:p>
    <w:p>
      <w:pPr>
        <w:pStyle w:val="MdParagraph"/>
      </w:pPr>
      <w:r>
        <w:rPr>
          <w:rStyle w:val="MdStrong"/>
          <w:b/>
          <w:bCs/>
        </w:rPr>
        <w:t xml:space="preserve">Proposed response:</w:t>
      </w:r>
    </w:p>
    <w:p>
      <w:pPr>
        <w:pStyle w:val="MdSpace"/>
        <w:spacing w:before="0" w:after="60"/>
      </w:pPr>
    </w:p>
    <w:p>
      <w:pPr>
        <w:pStyle w:val="MdParagraph"/>
      </w:pPr>
      <w:r>
        <w:t xml:space="preserve">Potential zero-day vulnerabilities are handled through the FNB security-incident and vulnerability-management process. When an advisory, vendor notification, threat-intelligence alert, or internal security notification identifies a potential issue, the FNB-ETAF Framework Owner will promptly identify whether the affected component, version, execution environment, browser runtime, mobile tooling, operating system, or CI/CD environment is in scope. Application Security/Vulnerability Management performs or directs risk triage based on exploitability, exposure, active exploitation, data sensitivity, network reachability, and availability of mitigation.</w:t>
      </w:r>
    </w:p>
    <w:p>
      <w:pPr>
        <w:pStyle w:val="MdSpace"/>
        <w:spacing w:before="0" w:after="60"/>
      </w:pPr>
    </w:p>
    <w:p>
      <w:pPr>
        <w:pStyle w:val="MdParagraph"/>
      </w:pPr>
      <w:r>
        <w:t xml:space="preserve">Pending a permanent fix, the framework owner will implement or request approved mitigations, such as disabling the affected capability, upgrading or pinning a safe version, restricting network exposure, limiting execution to approved environments, increasing monitoring, or temporarily suspending affected test execution. The incident or vulnerability record must document the assessment, decision, owner, mitigation, and closure criteria.</w:t>
      </w:r>
    </w:p>
    <w:p>
      <w:pPr>
        <w:pStyle w:val="MdSpace"/>
        <w:spacing w:before="0" w:after="60"/>
      </w:pPr>
    </w:p>
    <w:p>
      <w:pPr>
        <w:pStyle w:val="MdParagraph"/>
      </w:pPr>
      <w:r>
        <w:rPr>
          <w:rStyle w:val="MdStrong"/>
          <w:b/>
          <w:bCs/>
        </w:rPr>
        <w:t xml:space="preserve">FNB confirmation required before submission:</w:t>
      </w:r>
      <w:r>
        <w:t xml:space="preserve"> Confirm the FNB zero-day/incident-triage process, escalation contact, severity classification approach, and notification expectations.</w:t>
      </w:r>
    </w:p>
    <w:p>
      <w:pPr>
        <w:pStyle w:val="MdSpace"/>
        <w:spacing w:before="0" w:after="60"/>
      </w:pPr>
    </w:p>
    <w:p>
      <w:pPr>
        <w:pStyle w:val="Heading3"/>
        <w:pStyle w:val="MdHeading3"/>
      </w:pPr>
      <w:r>
        <w:t xml:space="preserve">21.3 Who is responsible for exception approvals?</w:t>
      </w:r>
    </w:p>
    <w:p>
      <w:pPr>
        <w:pStyle w:val="MdParagraph"/>
      </w:pPr>
      <w:r>
        <w:rPr>
          <w:rStyle w:val="MdStrong"/>
          <w:b/>
          <w:bCs/>
        </w:rPr>
        <w:t xml:space="preserve">Proposed response:</w:t>
      </w:r>
    </w:p>
    <w:p>
      <w:pPr>
        <w:pStyle w:val="MdSpace"/>
        <w:spacing w:before="0" w:after="60"/>
      </w:pPr>
    </w:p>
    <w:p>
      <w:pPr>
        <w:pStyle w:val="MdParagraph"/>
      </w:pPr>
      <w:r>
        <w:t xml:space="preserve">Exceptions are not approved by the framework alone. The FNB-ETAF Framework Owner is responsible for documenting the finding, business impact, affected component, proposed mitigation, remediation target date, and evidence. Approval authority must follow the applicable FNB risk-acceptance and exception-management policy and typically includes the accountable application owner/business owner together with Application Security or Vulnerability Management. Risk acceptance must be time-bound, recorded in the approved tracking system, and reviewed before expiration.</w:t>
      </w:r>
    </w:p>
    <w:p>
      <w:pPr>
        <w:pStyle w:val="MdSpace"/>
        <w:spacing w:before="0" w:after="60"/>
      </w:pPr>
    </w:p>
    <w:p>
      <w:pPr>
        <w:pStyle w:val="MdParagraph"/>
      </w:pPr>
      <w:r>
        <w:rPr>
          <w:rStyle w:val="MdStrong"/>
          <w:b/>
          <w:bCs/>
        </w:rPr>
        <w:t xml:space="preserve">FNB confirmation required before submission:</w:t>
      </w:r>
      <w:r>
        <w:t xml:space="preserve"> Identify the official exception approver roles, required approver sequence, maximum exception duration, renewal process, and tracking system.</w:t>
      </w:r>
    </w:p>
    <w:p>
      <w:pPr>
        <w:pStyle w:val="MdSpace"/>
        <w:spacing w:before="0" w:after="60"/>
      </w:pPr>
    </w:p>
    <w:p>
      <w:pPr>
        <w:pStyle w:val="Heading3"/>
        <w:pStyle w:val="MdHeading3"/>
      </w:pPr>
      <w:r>
        <w:t xml:space="preserve">21.4 What compensating controls exist while remediation is pending?</w:t>
      </w:r>
    </w:p>
    <w:p>
      <w:pPr>
        <w:pStyle w:val="MdParagraph"/>
      </w:pPr>
      <w:r>
        <w:rPr>
          <w:rStyle w:val="MdStrong"/>
          <w:b/>
          <w:bCs/>
        </w:rPr>
        <w:t xml:space="preserve">Proposed response:</w:t>
      </w:r>
    </w:p>
    <w:p>
      <w:pPr>
        <w:pStyle w:val="MdSpace"/>
        <w:spacing w:before="0" w:after="60"/>
      </w:pPr>
    </w:p>
    <w:p>
      <w:pPr>
        <w:pStyle w:val="MdParagraph"/>
      </w:pPr>
      <w:r>
        <w:t xml:space="preserve">Compensating controls are selected according to the specific vulnerability and approved by FNB Application Security. Potential controls include restricting the affected framework capability; limiting execution to approved non-production networks; removing public or unnecessary network exposure; enforcing least-privilege test accounts; restricting artifact access; rotating affected credentials; increasing dependency/security scan frequency; using endpoint protection; monitoring CI/CD execution logs; pinning to an approved safe version; and disabling the affected component or workflow until remediation is complete.</w:t>
      </w:r>
    </w:p>
    <w:p>
      <w:pPr>
        <w:pStyle w:val="MdSpace"/>
        <w:spacing w:before="0" w:after="60"/>
      </w:pPr>
    </w:p>
    <w:p>
      <w:pPr>
        <w:pStyle w:val="MdParagraph"/>
      </w:pPr>
      <w:r>
        <w:t xml:space="preserve">The selected compensating controls, responsible owner, validation evidence, and planned remediation date must be documented in the approved vulnerability/exception record. Compensating controls are temporary and do not remove the obligation to remediate or renew an approved exception.</w:t>
      </w:r>
    </w:p>
    <w:p>
      <w:pPr>
        <w:pStyle w:val="MdSpace"/>
        <w:spacing w:before="0" w:after="60"/>
      </w:pPr>
    </w:p>
    <w:p>
      <w:pPr>
        <w:pStyle w:val="Heading2"/>
        <w:pStyle w:val="MdHeading2"/>
      </w:pPr>
      <w:r>
        <w:t xml:space="preserve">Question 23 — Logging, SIEM, and Log Access</w:t>
      </w:r>
    </w:p>
    <w:p>
      <w:pPr>
        <w:pStyle w:val="Heading3"/>
        <w:pStyle w:val="MdHeading3"/>
      </w:pPr>
      <w:r>
        <w:t xml:space="preserve">23.1 What is the log-retention period?</w:t>
      </w:r>
    </w:p>
    <w:p>
      <w:pPr>
        <w:pStyle w:val="MdParagraph"/>
      </w:pPr>
      <w:r>
        <w:rPr>
          <w:rStyle w:val="MdStrong"/>
          <w:b/>
          <w:bCs/>
        </w:rPr>
        <w:t xml:space="preserve">Proposed response:</w:t>
      </w:r>
    </w:p>
    <w:p>
      <w:pPr>
        <w:pStyle w:val="MdSpace"/>
        <w:spacing w:before="0" w:after="60"/>
      </w:pPr>
    </w:p>
    <w:p>
      <w:pPr>
        <w:pStyle w:val="MdParagraph"/>
      </w:pPr>
      <w:r>
        <w:t xml:space="preserve">The framework does not define its own enterprise log-retention period. Retention follows the FNB-approved policy for the storage location and the classification/purpose of the records. Routine QA execution logs are retained according to the approved CI/CD or artifact-platform retention setting. Logs or evidence supporting SOX controls, release approval, incident response, or audit activity are retained according to the applicable FNB audit/evidence schedule and legal-hold requirements.</w:t>
      </w:r>
    </w:p>
    <w:p>
      <w:pPr>
        <w:pStyle w:val="MdSpace"/>
        <w:spacing w:before="0" w:after="60"/>
      </w:pPr>
    </w:p>
    <w:p>
      <w:pPr>
        <w:pStyle w:val="MdParagraph"/>
      </w:pPr>
      <w:r>
        <w:rPr>
          <w:rStyle w:val="MdStrong"/>
          <w:b/>
          <w:bCs/>
        </w:rPr>
        <w:t xml:space="preserve">FNB confirmation required before submission:</w:t>
      </w:r>
      <w:r>
        <w:t xml:space="preserve"> Insert the actual retention periods for CI/CD logs, framework logs, test reports, screenshots/videos, and SOX/audit evidence.</w:t>
      </w:r>
    </w:p>
    <w:p>
      <w:pPr>
        <w:pStyle w:val="MdSpace"/>
        <w:spacing w:before="0" w:after="60"/>
      </w:pPr>
    </w:p>
    <w:p>
      <w:pPr>
        <w:pStyle w:val="Heading3"/>
        <w:pStyle w:val="MdHeading3"/>
      </w:pPr>
      <w:r>
        <w:t xml:space="preserve">23.2 Where are logs stored?</w:t>
      </w:r>
    </w:p>
    <w:p>
      <w:pPr>
        <w:pStyle w:val="MdParagraph"/>
      </w:pPr>
      <w:r>
        <w:rPr>
          <w:rStyle w:val="MdStrong"/>
          <w:b/>
          <w:bCs/>
        </w:rPr>
        <w:t xml:space="preserve">Proposed response:</w:t>
      </w:r>
    </w:p>
    <w:p>
      <w:pPr>
        <w:pStyle w:val="MdSpace"/>
        <w:spacing w:before="0" w:after="60"/>
      </w:pPr>
    </w:p>
    <w:p>
      <w:pPr>
        <w:pStyle w:val="MdParagraph"/>
      </w:pPr>
      <w:r>
        <w:t xml:space="preserve">During execution, FNB-ETAF writes test-execution logs through Log4j2 to the approved execution workspace and makes them available through the CI/CD job log/artifact output when the framework runs in a pipeline. Reports, screenshots, videos, and optional Playwright traces are generated in the approved job workspace or approved developer-workstation evidence directory. The framework does not require a separate application server, public log endpoint, or cloud logging service.</w:t>
      </w:r>
    </w:p>
    <w:p>
      <w:pPr>
        <w:pStyle w:val="MdSpace"/>
        <w:spacing w:before="0" w:after="60"/>
      </w:pPr>
    </w:p>
    <w:p>
      <w:pPr>
        <w:pStyle w:val="MdParagraph"/>
      </w:pPr>
      <w:r>
        <w:t xml:space="preserve">For enterprise use, the exact CI/CD platform, artifact repository, and approved developer-workstation location must be recorded in the SAR. Sensitive logs or artifacts must not be stored in personal drives, unapproved shared folders, or public repositories.</w:t>
      </w:r>
    </w:p>
    <w:p>
      <w:pPr>
        <w:pStyle w:val="MdSpace"/>
        <w:spacing w:before="0" w:after="60"/>
      </w:pPr>
    </w:p>
    <w:p>
      <w:pPr>
        <w:pStyle w:val="MdParagraph"/>
      </w:pPr>
      <w:r>
        <w:rPr>
          <w:rStyle w:val="MdStrong"/>
          <w:b/>
          <w:bCs/>
        </w:rPr>
        <w:t xml:space="preserve">FNB confirmation required before submission:</w:t>
      </w:r>
      <w:r>
        <w:t xml:space="preserve"> Name the CI/CD platform, artifact repository, workspace path/storage boundary, encryption requirement, and approved local-workspace policy.</w:t>
      </w:r>
    </w:p>
    <w:p>
      <w:pPr>
        <w:pStyle w:val="MdSpace"/>
        <w:spacing w:before="0" w:after="60"/>
      </w:pPr>
    </w:p>
    <w:p>
      <w:pPr>
        <w:pStyle w:val="Heading3"/>
        <w:pStyle w:val="MdHeading3"/>
      </w:pPr>
      <w:r>
        <w:t xml:space="preserve">23.3 What SIEM integrations are supported or currently implemented?</w:t>
      </w:r>
    </w:p>
    <w:p>
      <w:pPr>
        <w:pStyle w:val="MdParagraph"/>
      </w:pPr>
      <w:r>
        <w:rPr>
          <w:rStyle w:val="MdStrong"/>
          <w:b/>
          <w:bCs/>
        </w:rPr>
        <w:t xml:space="preserve">Proposed response:</w:t>
      </w:r>
    </w:p>
    <w:p>
      <w:pPr>
        <w:pStyle w:val="MdSpace"/>
        <w:spacing w:before="0" w:after="60"/>
      </w:pPr>
    </w:p>
    <w:p>
      <w:pPr>
        <w:pStyle w:val="MdParagraph"/>
      </w:pPr>
      <w:r>
        <w:t xml:space="preserve">FNB-ETAF uses Log4j2 for framework logging. The current framework does not include a mandatory direct SIEM integration or a built-in Syslog forwarding configuration. Where FNB Security Operations requires central monitoring, Log4j2 can be configured through an approved appender or the CI/CD platform can forward relevant job/security events to the FNB-approved logging or SIEM service. The exact supported integration must be implemented and approved by FNB Security Operations; it must not be represented as active until this configuration is completed and validated.</w:t>
      </w:r>
    </w:p>
    <w:p>
      <w:pPr>
        <w:pStyle w:val="MdSpace"/>
        <w:spacing w:before="0" w:after="60"/>
      </w:pPr>
    </w:p>
    <w:p>
      <w:pPr>
        <w:pStyle w:val="MdParagraph"/>
      </w:pPr>
      <w:r>
        <w:t xml:space="preserve">The recommended security-relevant events for central collection are framework startup/shutdown, job and execution identifiers, configuration-load failures, authentication/authorization failures, secret-handling errors without secret values, dependency/security-scan outcomes, unexpected browser/mobile-driver failures, artifact-access events where supported by the storage platform, and CI/CD deployment/release events.</w:t>
      </w:r>
    </w:p>
    <w:p>
      <w:pPr>
        <w:pStyle w:val="MdSpace"/>
        <w:spacing w:before="0" w:after="60"/>
      </w:pPr>
    </w:p>
    <w:p>
      <w:pPr>
        <w:pStyle w:val="MdParagraph"/>
      </w:pPr>
      <w:r>
        <w:rPr>
          <w:rStyle w:val="MdStrong"/>
          <w:b/>
          <w:bCs/>
        </w:rPr>
        <w:t xml:space="preserve">FNB confirmation required before submission:</w:t>
      </w:r>
      <w:r>
        <w:t xml:space="preserve"> Identify the approved SIEM/logging platform, integration method, use cases, alert ownership, retention, and any required parsing/formatting standard.</w:t>
      </w:r>
    </w:p>
    <w:p>
      <w:pPr>
        <w:pStyle w:val="MdSpace"/>
        <w:spacing w:before="0" w:after="60"/>
      </w:pPr>
    </w:p>
    <w:p>
      <w:pPr>
        <w:pStyle w:val="Heading3"/>
        <w:pStyle w:val="MdHeading3"/>
      </w:pPr>
      <w:r>
        <w:t xml:space="preserve">23.4 What is the process for requesting and obtaining approval for log access?</w:t>
      </w:r>
    </w:p>
    <w:p>
      <w:pPr>
        <w:pStyle w:val="MdParagraph"/>
      </w:pPr>
      <w:r>
        <w:rPr>
          <w:rStyle w:val="MdStrong"/>
          <w:b/>
          <w:bCs/>
        </w:rPr>
        <w:t xml:space="preserve">Proposed response:</w:t>
      </w:r>
    </w:p>
    <w:p>
      <w:pPr>
        <w:pStyle w:val="MdSpace"/>
        <w:spacing w:before="0" w:after="60"/>
      </w:pPr>
    </w:p>
    <w:p>
      <w:pPr>
        <w:pStyle w:val="MdParagraph"/>
      </w:pPr>
      <w:r>
        <w:t xml:space="preserve">Access to FNB-ETAF execution logs and artifacts must be requested through the FNB standard access-request process and approved by the owner of the storage platform or application evidence. Access is granted by role and business need, not by direct informal sharing. Routine access should be limited to designated QA automation engineers, the framework owner, approved target-application support personnel, CI/CD administrators, and authorized security/audit personnel.</w:t>
      </w:r>
    </w:p>
    <w:p>
      <w:pPr>
        <w:pStyle w:val="MdSpace"/>
        <w:spacing w:before="0" w:after="60"/>
      </w:pPr>
    </w:p>
    <w:p>
      <w:pPr>
        <w:pStyle w:val="MdParagraph"/>
      </w:pPr>
      <w:r>
        <w:t xml:space="preserve">Requests must identify the requested repository/log source, business reason, requested role, duration where applicable, and required environment. The system owner or designated approver approves the request; Access Management provisions the entitlement; and access is subject to periodic review and removal when the business need ends. Access requests and approvals must be auditable in the FNB-approved identity/access-management system.</w:t>
      </w:r>
    </w:p>
    <w:p>
      <w:pPr>
        <w:pStyle w:val="MdSpace"/>
        <w:spacing w:before="0" w:after="60"/>
      </w:pPr>
    </w:p>
    <w:p>
      <w:pPr>
        <w:pStyle w:val="MdParagraph"/>
      </w:pPr>
      <w:r>
        <w:rPr>
          <w:rStyle w:val="MdStrong"/>
          <w:b/>
          <w:bCs/>
        </w:rPr>
        <w:t xml:space="preserve">FNB confirmation required before submission:</w:t>
      </w:r>
      <w:r>
        <w:t xml:space="preserve"> Confirm the named storage owner, request system, approval role, recertification cadence, and offboarding/removal process.</w:t>
      </w:r>
    </w:p>
    <w:p>
      <w:pPr>
        <w:pStyle w:val="MdSpace"/>
        <w:spacing w:before="0" w:after="60"/>
      </w:pPr>
    </w:p>
    <w:p>
      <w:pPr>
        <w:pStyle w:val="Heading2"/>
        <w:pStyle w:val="MdHeading2"/>
      </w:pPr>
      <w:r>
        <w:t xml:space="preserve">Question 27 — Multi-Factor Authentication and Automated Test Accounts</w:t>
      </w:r>
    </w:p>
    <w:p>
      <w:pPr>
        <w:pStyle w:val="Heading3"/>
        <w:pStyle w:val="MdHeading3"/>
      </w:pPr>
      <w:r>
        <w:t xml:space="preserve">27.1 How are automated test accounts authenticated?</w:t>
      </w:r>
    </w:p>
    <w:p>
      <w:pPr>
        <w:pStyle w:val="MdParagraph"/>
      </w:pPr>
      <w:r>
        <w:rPr>
          <w:rStyle w:val="MdStrong"/>
          <w:b/>
          <w:bCs/>
        </w:rPr>
        <w:t xml:space="preserve">Proposed response:</w:t>
      </w:r>
    </w:p>
    <w:p>
      <w:pPr>
        <w:pStyle w:val="MdSpace"/>
        <w:spacing w:before="0" w:after="60"/>
      </w:pPr>
    </w:p>
    <w:p>
      <w:pPr>
        <w:pStyle w:val="MdParagraph"/>
      </w:pPr>
      <w:r>
        <w:t xml:space="preserve">FNB-ETAF does not provide an independent user-authentication service. It automates the authentication flow implemented by the target application. Automated test accounts are non-production accounts created, governed, and approved by the target application owner and FNB IAM/Access Management. Account credentials, tokens, or certificates must be provided at runtime through FNB-approved secret-management or CI/CD credential mechanisms; they must not be embedded in feature files, source code, reports, logs, screenshots, or version-control history.</w:t>
      </w:r>
    </w:p>
    <w:p>
      <w:pPr>
        <w:pStyle w:val="MdSpace"/>
        <w:spacing w:before="0" w:after="60"/>
      </w:pPr>
    </w:p>
    <w:p>
      <w:pPr>
        <w:pStyle w:val="MdParagraph"/>
      </w:pPr>
      <w:r>
        <w:t xml:space="preserve">Where MFA applies to a target application, the application owner and IAM must define an approved test-automation approach for the applicable non-production environment. This could include a dedicated non-production automation account, a service-to-service credential, a controlled test authenticator process, or another IAM-approved method. FNB-ETAF will not bypass MFA, alter target-application authentication controls, or weaken production security controls.</w:t>
      </w:r>
    </w:p>
    <w:p>
      <w:pPr>
        <w:pStyle w:val="MdSpace"/>
        <w:spacing w:before="0" w:after="60"/>
      </w:pPr>
    </w:p>
    <w:p>
      <w:pPr>
        <w:pStyle w:val="MdParagraph"/>
      </w:pPr>
      <w:r>
        <w:rPr>
          <w:rStyle w:val="MdStrong"/>
          <w:b/>
          <w:bCs/>
        </w:rPr>
        <w:t xml:space="preserve">FNB confirmation required before submission:</w:t>
      </w:r>
      <w:r>
        <w:t xml:space="preserve"> Identify the approved account type, identity source, MFA strategy, secret-management platform, credential-rotation owner, and each target application’s test-environment authentication procedure.</w:t>
      </w:r>
    </w:p>
    <w:p>
      <w:pPr>
        <w:pStyle w:val="MdSpace"/>
        <w:spacing w:before="0" w:after="60"/>
      </w:pPr>
    </w:p>
    <w:p>
      <w:pPr>
        <w:pStyle w:val="Heading2"/>
        <w:pStyle w:val="MdHeading2"/>
      </w:pPr>
      <w:r>
        <w:t xml:space="preserve">Question 30 — Installation, Privileged Access, Audit, and Deployment</w:t>
      </w:r>
    </w:p>
    <w:p>
      <w:pPr>
        <w:pStyle w:val="Heading3"/>
        <w:pStyle w:val="MdHeading3"/>
      </w:pPr>
      <w:r>
        <w:t xml:space="preserve">30.1 Are local administrator rights required to install, configure, or use the software?</w:t>
      </w:r>
    </w:p>
    <w:p>
      <w:pPr>
        <w:pStyle w:val="MdParagraph"/>
      </w:pPr>
      <w:r>
        <w:rPr>
          <w:rStyle w:val="MdStrong"/>
          <w:b/>
          <w:bCs/>
        </w:rPr>
        <w:t xml:space="preserve">Proposed response:</w:t>
      </w:r>
    </w:p>
    <w:p>
      <w:pPr>
        <w:pStyle w:val="MdSpace"/>
        <w:spacing w:before="0" w:after="60"/>
      </w:pPr>
    </w:p>
    <w:p>
      <w:pPr>
        <w:pStyle w:val="MdParagraph"/>
      </w:pPr>
      <w:r>
        <w:t xml:space="preserve">Routine FNB-ETAF execution, feature development, Maven builds, test execution, report generation, and routine framework updates do not require the QA automation user to operate with local administrator, root, or elevated privileges. The framework runs as the authenticated FNB developer or CI/CD service identity using its approved workspace permissions.</w:t>
      </w:r>
    </w:p>
    <w:p>
      <w:pPr>
        <w:pStyle w:val="MdSpace"/>
        <w:spacing w:before="0" w:after="60"/>
      </w:pPr>
    </w:p>
    <w:p>
      <w:pPr>
        <w:pStyle w:val="MdParagraph"/>
      </w:pPr>
      <w:r>
        <w:t xml:space="preserve">Initial installation or managed upgrade of workstation prerequisites may require an approved endpoint-administration process. Examples can include the approved JDK, Maven, browser binaries and operating-system dependencies, mobile SDKs, USB/device drivers, corporate root certificates, or a locally installed Appium server. Any elevation is limited to prerequisite installation or configuration and must be performed through FNB Endpoint Engineering/Desktop Support controls. Elevated rights are not a routine framework requirement.</w:t>
      </w:r>
    </w:p>
    <w:p>
      <w:pPr>
        <w:pStyle w:val="MdSpace"/>
        <w:spacing w:before="0" w:after="60"/>
      </w:pPr>
    </w:p>
    <w:p>
      <w:pPr>
        <w:pStyle w:val="MdParagraph"/>
      </w:pPr>
      <w:r>
        <w:rPr>
          <w:rStyle w:val="MdStrong"/>
          <w:b/>
          <w:bCs/>
        </w:rPr>
        <w:t xml:space="preserve">FNB confirmation required before submission:</w:t>
      </w:r>
      <w:r>
        <w:t xml:space="preserve"> Confirm the managed prerequisite list, installation ownership, required privilege level, and whether a standard self-service software catalog is available.</w:t>
      </w:r>
    </w:p>
    <w:p>
      <w:pPr>
        <w:pStyle w:val="MdSpace"/>
        <w:spacing w:before="0" w:after="60"/>
      </w:pPr>
    </w:p>
    <w:p>
      <w:pPr>
        <w:pStyle w:val="Heading3"/>
        <w:pStyle w:val="MdHeading3"/>
      </w:pPr>
      <w:r>
        <w:t xml:space="preserve">30.2 Is a privileged access management (PAM) solution used to control and monitor administrative access?</w:t>
      </w:r>
    </w:p>
    <w:p>
      <w:pPr>
        <w:pStyle w:val="MdParagraph"/>
      </w:pPr>
      <w:r>
        <w:rPr>
          <w:rStyle w:val="MdStrong"/>
          <w:b/>
          <w:bCs/>
        </w:rPr>
        <w:t xml:space="preserve">Proposed response:</w:t>
      </w:r>
    </w:p>
    <w:p>
      <w:pPr>
        <w:pStyle w:val="MdSpace"/>
        <w:spacing w:before="0" w:after="60"/>
      </w:pPr>
    </w:p>
    <w:p>
      <w:pPr>
        <w:pStyle w:val="MdParagraph"/>
      </w:pPr>
      <w:r>
        <w:t xml:space="preserve">FNB-ETAF does not include its own privileged-access-management capability and does not create administrative accounts. Where an installation, configuration, CI/CD runner administration, server management, or device-management task requires elevated access, FNB’s approved PAM and endpoint-administration controls must govern the privileged session. The framework owner and routine QA users do not receive standing local-administrator or server-administrator rights solely to use the framework.</w:t>
      </w:r>
    </w:p>
    <w:p>
      <w:pPr>
        <w:pStyle w:val="MdSpace"/>
        <w:spacing w:before="0" w:after="60"/>
      </w:pPr>
    </w:p>
    <w:p>
      <w:pPr>
        <w:pStyle w:val="MdParagraph"/>
      </w:pPr>
      <w:r>
        <w:t xml:space="preserve">If a privileged service identity is required for a specific CI/CD runner or managed execution host, it must be separately justified, approved, vaulted, monitored, and periodically reviewed under the FNB PAM/service-account process.</w:t>
      </w:r>
    </w:p>
    <w:p>
      <w:pPr>
        <w:pStyle w:val="MdSpace"/>
        <w:spacing w:before="0" w:after="60"/>
      </w:pPr>
    </w:p>
    <w:p>
      <w:pPr>
        <w:pStyle w:val="MdParagraph"/>
      </w:pPr>
      <w:r>
        <w:rPr>
          <w:rStyle w:val="MdStrong"/>
          <w:b/>
          <w:bCs/>
        </w:rPr>
        <w:t xml:space="preserve">FNB confirmation required before submission:</w:t>
      </w:r>
      <w:r>
        <w:t xml:space="preserve"> Identify the approved PAM solution, session-control requirement, credential-vaulting method, privileged-access owner, and review cadence.</w:t>
      </w:r>
    </w:p>
    <w:p>
      <w:pPr>
        <w:pStyle w:val="MdSpace"/>
        <w:spacing w:before="0" w:after="60"/>
      </w:pPr>
    </w:p>
    <w:p>
      <w:pPr>
        <w:pStyle w:val="Heading3"/>
        <w:pStyle w:val="MdHeading3"/>
      </w:pPr>
      <w:r>
        <w:t xml:space="preserve">30.3 How are software installation activities audited, logged, and reviewed?</w:t>
      </w:r>
    </w:p>
    <w:p>
      <w:pPr>
        <w:pStyle w:val="MdParagraph"/>
      </w:pPr>
      <w:r>
        <w:rPr>
          <w:rStyle w:val="MdStrong"/>
          <w:b/>
          <w:bCs/>
        </w:rPr>
        <w:t xml:space="preserve">Proposed response:</w:t>
      </w:r>
    </w:p>
    <w:p>
      <w:pPr>
        <w:pStyle w:val="MdSpace"/>
        <w:spacing w:before="0" w:after="60"/>
      </w:pPr>
    </w:p>
    <w:p>
      <w:pPr>
        <w:pStyle w:val="MdParagraph"/>
      </w:pPr>
      <w:r>
        <w:t xml:space="preserve">Framework source changes are reviewed through the approved source-control and change-management process. Installation or upgrade of managed prerequisites must be performed through the FNB-approved endpoint-management, software-distribution, or Desktop Support process, which should retain the required installation request, approval, package/version, target asset, installer identity, execution time, and outcome. CI/CD-based package/dependency installation is recorded by the CI/CD job history and build logs, subject to the applicable retention policy.</w:t>
      </w:r>
    </w:p>
    <w:p>
      <w:pPr>
        <w:pStyle w:val="MdSpace"/>
        <w:spacing w:before="0" w:after="60"/>
      </w:pPr>
    </w:p>
    <w:p>
      <w:pPr>
        <w:pStyle w:val="MdParagraph"/>
      </w:pPr>
      <w:r>
        <w:t xml:space="preserve">The FNB-ETAF Framework Owner must retain release/version information and dependency manifests for approved framework releases. Application Security and Endpoint Engineering determine the authoritative audit sources for prerequisite installation and patching activity.</w:t>
      </w:r>
    </w:p>
    <w:p>
      <w:pPr>
        <w:pStyle w:val="MdSpace"/>
        <w:spacing w:before="0" w:after="60"/>
      </w:pPr>
    </w:p>
    <w:p>
      <w:pPr>
        <w:pStyle w:val="MdParagraph"/>
      </w:pPr>
      <w:r>
        <w:rPr>
          <w:rStyle w:val="MdStrong"/>
          <w:b/>
          <w:bCs/>
        </w:rPr>
        <w:t xml:space="preserve">FNB confirmation required before submission:</w:t>
      </w:r>
      <w:r>
        <w:t xml:space="preserve"> Identify the endpoint-management tool, service-management/change-record process, audit-log retention, reviewer role, and CI/CD evidence repository.</w:t>
      </w:r>
    </w:p>
    <w:p>
      <w:pPr>
        <w:pStyle w:val="MdSpace"/>
        <w:spacing w:before="0" w:after="60"/>
      </w:pPr>
    </w:p>
    <w:p>
      <w:pPr>
        <w:pStyle w:val="Heading3"/>
        <w:pStyle w:val="MdHeading3"/>
      </w:pPr>
      <w:r>
        <w:t xml:space="preserve">30.4 Is software deployment centralized, and if so, what tools or processes are used to manage deployments?</w:t>
      </w:r>
    </w:p>
    <w:p>
      <w:pPr>
        <w:pStyle w:val="MdParagraph"/>
      </w:pPr>
      <w:r>
        <w:rPr>
          <w:rStyle w:val="MdStrong"/>
          <w:b/>
          <w:bCs/>
        </w:rPr>
        <w:t xml:space="preserve">Proposed response:</w:t>
      </w:r>
    </w:p>
    <w:p>
      <w:pPr>
        <w:pStyle w:val="MdSpace"/>
        <w:spacing w:before="0" w:after="60"/>
      </w:pPr>
    </w:p>
    <w:p>
      <w:pPr>
        <w:pStyle w:val="MdParagraph"/>
      </w:pPr>
      <w:r>
        <w:t xml:space="preserve">FNB-ETAF is not a deployed customer-facing application and does not operate an application server or production deployment service. Framework source, versioned dependencies, configuration templates, and reusable test assets should be distributed through the FNB-approved source repository, artifact repository, and CI/CD process. Standard execution can occur from approved managed developer workstations or approved CI/CD runners.</w:t>
      </w:r>
    </w:p>
    <w:p>
      <w:pPr>
        <w:pStyle w:val="MdSpace"/>
        <w:spacing w:before="0" w:after="60"/>
      </w:pPr>
    </w:p>
    <w:p>
      <w:pPr>
        <w:pStyle w:val="MdParagraph"/>
      </w:pPr>
      <w:r>
        <w:t xml:space="preserve">Where a shared framework release is published, the release must be versioned, peer-reviewed, built and validated by the approved pipeline, and made available only through the approved internal repository or release channel. Configuration and secrets are environment-specific and must not be bundled into source releases. No external vendor deployment channel is required.</w:t>
      </w:r>
    </w:p>
    <w:p>
      <w:pPr>
        <w:pStyle w:val="MdSpace"/>
        <w:spacing w:before="0" w:after="60"/>
      </w:pPr>
    </w:p>
    <w:p>
      <w:pPr>
        <w:pStyle w:val="MdParagraph"/>
      </w:pPr>
      <w:r>
        <w:rPr>
          <w:rStyle w:val="MdStrong"/>
          <w:b/>
          <w:bCs/>
        </w:rPr>
        <w:t xml:space="preserve">FNB confirmation required before submission:</w:t>
      </w:r>
      <w:r>
        <w:t xml:space="preserve"> Identify the actual FNB source repository, artifact repository, CI/CD platform, release/versioning approach, deployment approver, and configuration/secrets-management process.</w:t>
      </w:r>
    </w:p>
    <w:p>
      <w:pPr>
        <w:pStyle w:val="MdSpace"/>
        <w:spacing w:before="0" w:after="60"/>
      </w:pPr>
    </w:p>
    <w:p>
      <w:pPr>
        <w:pStyle w:val="Heading2"/>
        <w:pStyle w:val="MdHeading2"/>
      </w:pPr>
      <w:r>
        <w:t xml:space="preserve">Question 34 — Availability and Business Impact</w:t>
      </w:r>
    </w:p>
    <w:p>
      <w:pPr>
        <w:pStyle w:val="Heading3"/>
        <w:pStyle w:val="MdHeading3"/>
      </w:pPr>
      <w:r>
        <w:t xml:space="preserve">34.1 What is the acceptable outage duration?</w:t>
      </w:r>
    </w:p>
    <w:p>
      <w:pPr>
        <w:pStyle w:val="MdParagraph"/>
      </w:pPr>
      <w:r>
        <w:rPr>
          <w:rStyle w:val="MdStrong"/>
          <w:b/>
          <w:bCs/>
        </w:rPr>
        <w:t xml:space="preserve">Proposed response:</w:t>
      </w:r>
    </w:p>
    <w:p>
      <w:pPr>
        <w:pStyle w:val="MdSpace"/>
        <w:spacing w:before="0" w:after="60"/>
      </w:pPr>
    </w:p>
    <w:p>
      <w:pPr>
        <w:pStyle w:val="MdParagraph"/>
      </w:pPr>
      <w:r>
        <w:t xml:space="preserve">FNB-ETAF is an internal, on-demand test-execution framework. It does not process customer transactions or provide a customer-facing banking service. Accordingly, it has no separate 24×7 production-service availability target and no independent high-availability requirement beyond the approved workstation and CI/CD platform infrastructure on which it runs.</w:t>
      </w:r>
    </w:p>
    <w:p>
      <w:pPr>
        <w:pStyle w:val="MdSpace"/>
        <w:spacing w:before="0" w:after="60"/>
      </w:pPr>
    </w:p>
    <w:p>
      <w:pPr>
        <w:pStyle w:val="MdParagraph"/>
      </w:pPr>
      <w:r>
        <w:t xml:space="preserve">The acceptable interruption period is determined by the affected QA test window, release milestone, and CI/CD quality-gate schedule. A routine interruption may be tolerated until the next planned test window; an interruption that blocks a release-critical regression suite or a required quality gate should be treated as a priority incident by QA Engineering and the supporting platform owner. The specific maximum outage/recovery target must be defined by the applicable LOB and QA Engineering.</w:t>
      </w:r>
    </w:p>
    <w:p>
      <w:pPr>
        <w:pStyle w:val="MdSpace"/>
        <w:spacing w:before="0" w:after="60"/>
      </w:pPr>
    </w:p>
    <w:p>
      <w:pPr>
        <w:pStyle w:val="MdParagraph"/>
      </w:pPr>
      <w:r>
        <w:rPr>
          <w:rStyle w:val="MdStrong"/>
          <w:b/>
          <w:bCs/>
        </w:rPr>
        <w:t xml:space="preserve">FNB confirmation required before submission:</w:t>
      </w:r>
      <w:r>
        <w:t xml:space="preserve"> Insert the LOB-approved recovery target for release-critical test cycles and identify the escalation owner.</w:t>
      </w:r>
    </w:p>
    <w:p>
      <w:pPr>
        <w:pStyle w:val="MdSpace"/>
        <w:spacing w:before="0" w:after="60"/>
      </w:pPr>
    </w:p>
    <w:p>
      <w:pPr>
        <w:pStyle w:val="Heading3"/>
        <w:pStyle w:val="MdHeading3"/>
      </w:pPr>
      <w:r>
        <w:t xml:space="preserve">34.2 What are the business impacts if unavailable?</w:t>
      </w:r>
    </w:p>
    <w:p>
      <w:pPr>
        <w:pStyle w:val="MdParagraph"/>
      </w:pPr>
      <w:r>
        <w:rPr>
          <w:rStyle w:val="MdStrong"/>
          <w:b/>
          <w:bCs/>
        </w:rPr>
        <w:t xml:space="preserve">Proposed response:</w:t>
      </w:r>
    </w:p>
    <w:p>
      <w:pPr>
        <w:pStyle w:val="MdSpace"/>
        <w:spacing w:before="0" w:after="60"/>
      </w:pPr>
    </w:p>
    <w:p>
      <w:pPr>
        <w:pStyle w:val="MdParagraph"/>
      </w:pPr>
      <w:r>
        <w:t xml:space="preserve">If FNB-ETAF is unavailable, authorized teams cannot execute the affected automated UI, API, mobile, database, file-validation, or performance test suites from the impacted execution environment. The immediate business impacts are delayed regression validation, delayed CI/CD quality-gate results, delayed defect detection, delayed generation of test evidence, and potential delay to a planned software release or remediation decision.</w:t>
      </w:r>
    </w:p>
    <w:p>
      <w:pPr>
        <w:pStyle w:val="MdSpace"/>
        <w:spacing w:before="0" w:after="60"/>
      </w:pPr>
    </w:p>
    <w:p>
      <w:pPr>
        <w:pStyle w:val="MdParagraph"/>
      </w:pPr>
      <w:r>
        <w:t xml:space="preserve">The framework’s unavailability does not directly interrupt customer transactions, change production customer data, make a banking channel unavailable, or create a customer-facing outage. The actual impact severity depends on the release calendar, the availability of alternative test execution paths, and whether a manual validation fallback is available for the affected testing scope.</w:t>
      </w:r>
    </w:p>
    <w:p>
      <w:pPr>
        <w:pStyle w:val="MdSpace"/>
        <w:spacing w:before="0" w:after="60"/>
      </w:pPr>
    </w:p>
    <w:p>
      <w:pPr>
        <w:pStyle w:val="MdParagraph"/>
      </w:pPr>
      <w:r>
        <w:rPr>
          <w:rStyle w:val="MdStrong"/>
          <w:b/>
          <w:bCs/>
        </w:rPr>
        <w:t xml:space="preserve">FNB confirmation required before submission:</w:t>
      </w:r>
      <w:r>
        <w:t xml:space="preserve"> Confirm LOB-specific release impact, manual fallback expectations, and the escalation/contact path for a release-blocking test-execution outage.</w:t>
      </w:r>
    </w:p>
    <w:p>
      <w:pPr>
        <w:pStyle w:val="MdSpace"/>
        <w:spacing w:before="0" w:after="60"/>
      </w:pPr>
    </w:p>
    <w:p>
      <w:pPr>
        <w:pStyle w:val="Heading2"/>
        <w:pStyle w:val="MdHeading2"/>
      </w:pPr>
      <w:r>
        <w:t xml:space="preserve">Question 35 — Access Approvals</w:t>
      </w:r>
    </w:p>
    <w:p>
      <w:pPr>
        <w:pStyle w:val="Heading3"/>
        <w:pStyle w:val="MdHeading3"/>
      </w:pPr>
      <w:r>
        <w:t xml:space="preserve">35.1 Who is the primary approver?</w:t>
      </w:r>
    </w:p>
    <w:p>
      <w:pPr>
        <w:pStyle w:val="MdParagraph"/>
      </w:pPr>
      <w:r>
        <w:rPr>
          <w:rStyle w:val="MdStrong"/>
          <w:b/>
          <w:bCs/>
        </w:rPr>
        <w:t xml:space="preserve">Proposed response:</w:t>
      </w:r>
    </w:p>
    <w:p>
      <w:pPr>
        <w:pStyle w:val="MdSpace"/>
        <w:spacing w:before="0" w:after="60"/>
      </w:pPr>
    </w:p>
    <w:p>
      <w:pPr>
        <w:pStyle w:val="MdParagraph"/>
      </w:pPr>
      <w:r>
        <w:t xml:space="preserve">The primary approver for access to the FNB-ETAF source repository, shared CI/CD configuration, and framework execution workspace should be the designated FNB QA Engineering Manager or the formally appointed FNB-ETAF Framework Owner. This approver’s authority is limited to framework access. Access to target applications, non-production test accounts, databases, service accounts, and secrets remains separately approved by the applicable application owner, data owner/DBA, Access Management, and secret-management process.</w:t>
      </w:r>
    </w:p>
    <w:p>
      <w:pPr>
        <w:pStyle w:val="MdSpace"/>
        <w:spacing w:before="0" w:after="60"/>
      </w:pPr>
    </w:p>
    <w:p>
      <w:pPr>
        <w:pStyle w:val="MdParagraph"/>
      </w:pPr>
      <w:r>
        <w:rPr>
          <w:rStyle w:val="MdStrong"/>
          <w:b/>
          <w:bCs/>
        </w:rPr>
        <w:t xml:space="preserve">FNB confirmation required before submission:</w:t>
      </w:r>
      <w:r>
        <w:t xml:space="preserve"> Insert the name, title, organization, and delegated approval scope of the designated primary approver.</w:t>
      </w:r>
    </w:p>
    <w:p>
      <w:pPr>
        <w:pStyle w:val="MdSpace"/>
        <w:spacing w:before="0" w:after="60"/>
      </w:pPr>
    </w:p>
    <w:p>
      <w:pPr>
        <w:pStyle w:val="Heading3"/>
        <w:pStyle w:val="MdHeading3"/>
      </w:pPr>
      <w:r>
        <w:t xml:space="preserve">35.2 Is there a secondary approver? If so, who?</w:t>
      </w:r>
    </w:p>
    <w:p>
      <w:pPr>
        <w:pStyle w:val="MdParagraph"/>
      </w:pPr>
      <w:r>
        <w:rPr>
          <w:rStyle w:val="MdStrong"/>
          <w:b/>
          <w:bCs/>
        </w:rPr>
        <w:t xml:space="preserve">Proposed response:</w:t>
      </w:r>
    </w:p>
    <w:p>
      <w:pPr>
        <w:pStyle w:val="MdSpace"/>
        <w:spacing w:before="0" w:after="60"/>
      </w:pPr>
    </w:p>
    <w:p>
      <w:pPr>
        <w:pStyle w:val="MdParagraph"/>
      </w:pPr>
      <w:r>
        <w:t xml:space="preserve">Yes. A secondary approver or delegated backup should be designated by FNB QA Engineering to maintain continuity during the primary approver’s absence. The secondary approver must have documented delegated authority under the FNB access-governance process and must understand the framework-access scope and the separation between framework access and target-system access.</w:t>
      </w:r>
    </w:p>
    <w:p>
      <w:pPr>
        <w:pStyle w:val="MdSpace"/>
        <w:spacing w:before="0" w:after="60"/>
      </w:pPr>
    </w:p>
    <w:p>
      <w:pPr>
        <w:pStyle w:val="MdParagraph"/>
      </w:pPr>
      <w:r>
        <w:t xml:space="preserve">The secondary approver does not automatically approve application accounts, database access, privileged access, or secrets; those remain subject to their own FNB approval workflows.</w:t>
      </w:r>
    </w:p>
    <w:p>
      <w:pPr>
        <w:pStyle w:val="MdSpace"/>
        <w:spacing w:before="0" w:after="60"/>
      </w:pPr>
    </w:p>
    <w:p>
      <w:pPr>
        <w:pStyle w:val="MdParagraph"/>
      </w:pPr>
      <w:r>
        <w:rPr>
          <w:rStyle w:val="MdStrong"/>
          <w:b/>
          <w:bCs/>
        </w:rPr>
        <w:t xml:space="preserve">FNB confirmation required before submission:</w:t>
      </w:r>
      <w:r>
        <w:t xml:space="preserve"> Insert the name, title, delegated authority record, and effective backup-coverage arrangement for the secondary approver.</w:t>
      </w:r>
    </w:p>
    <w:p>
      <w:pPr>
        <w:pStyle w:val="MdSpace"/>
        <w:spacing w:before="0" w:after="60"/>
      </w:pPr>
    </w:p>
    <w:p>
      <w:pPr>
        <w:pStyle w:val="Heading2"/>
        <w:pStyle w:val="MdHeading2"/>
      </w:pPr>
      <w:r>
        <w:t xml:space="preserve">Submission Checklist</w:t>
      </w:r>
    </w:p>
    <w:p>
      <w:pPr>
        <w:pStyle w:val="MdParagraph"/>
      </w:pPr>
      <w:r>
        <w:t xml:space="preserve">Before submitting these responses, obtain the following FNB-specific facts and replace every bracketed placeholder: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Required confirmation</w:t>
            </w:r>
          </w:p>
        </w:tc>
        <w:tc>
          <w:tcPr>
            <w:tcBorders>
              <w:right w:val="none"/>
            </w:tcBorders>
            <w:tcMar>
              <w:top w:type="dxa" w:w="100"/>
              <w:left w:type="dxa" w:w="120"/>
              <w:bottom w:type="dxa" w:w="100"/>
              <w:right w:type="dxa" w:w="120"/>
            </w:tcMar>
            <w:vAlign w:val="center"/>
          </w:tcPr>
          <w:p>
            <w:pPr>
              <w:pStyle w:val="MdTableHeader"/>
            </w:pPr>
            <w:r>
              <w:t xml:space="preserve">Suggested FNB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Test-data, masking, and production-data exception policy</w:t>
            </w:r>
          </w:p>
        </w:tc>
        <w:tc>
          <w:tcPr>
            <w:tcBorders>
              <w:right w:val="none"/>
            </w:tcBorders>
            <w:tcMar>
              <w:top w:type="dxa" w:w="80"/>
              <w:left w:type="dxa" w:w="120"/>
              <w:bottom w:type="dxa" w:w="80"/>
              <w:right w:type="dxa" w:w="120"/>
            </w:tcMar>
            <w:vAlign w:val="center"/>
          </w:tcPr>
          <w:p>
            <w:pPr>
              <w:pStyle w:val="MdTableCell"/>
            </w:pPr>
            <w:r>
              <w:t xml:space="preserve">Data Owner, Privacy, Test Data Management, target application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Security tools, scan cadence, ticketing workflow, and vulnerability SLAs</w:t>
            </w:r>
          </w:p>
        </w:tc>
        <w:tc>
          <w:tcPr>
            <w:tcBorders>
              <w:right w:val="none"/>
            </w:tcBorders>
            <w:tcMar>
              <w:top w:type="dxa" w:w="80"/>
              <w:left w:type="dxa" w:w="120"/>
              <w:bottom w:type="dxa" w:w="80"/>
              <w:right w:type="dxa" w:w="120"/>
            </w:tcMar>
            <w:vAlign w:val="center"/>
          </w:tcPr>
          <w:p>
            <w:pPr>
              <w:pStyle w:val="MdTableCell"/>
            </w:pPr>
            <w:r>
              <w:t xml:space="preserve">Application Security, Vulnerability Management, DevSecOps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Artifact storage, encryption, retention, legal hold, and disposal process</w:t>
            </w:r>
          </w:p>
        </w:tc>
        <w:tc>
          <w:tcPr>
            <w:tcBorders>
              <w:right w:val="none"/>
            </w:tcBorders>
            <w:tcMar>
              <w:top w:type="dxa" w:w="80"/>
              <w:left w:type="dxa" w:w="120"/>
              <w:bottom w:type="dxa" w:w="80"/>
              <w:right w:type="dxa" w:w="120"/>
            </w:tcMar>
            <w:vAlign w:val="center"/>
          </w:tcPr>
          <w:p>
            <w:pPr>
              <w:pStyle w:val="MdTableCell"/>
            </w:pPr>
            <w:r>
              <w:t xml:space="preserve">Security Operations, Records Management, CI/CD platform owner, Audit/Compliance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Automated account, MFA, secret, and service-account governance</w:t>
            </w:r>
          </w:p>
        </w:tc>
        <w:tc>
          <w:tcPr>
            <w:tcBorders>
              <w:right w:val="none"/>
            </w:tcBorders>
            <w:tcMar>
              <w:top w:type="dxa" w:w="80"/>
              <w:left w:type="dxa" w:w="120"/>
              <w:bottom w:type="dxa" w:w="80"/>
              <w:right w:type="dxa" w:w="120"/>
            </w:tcMar>
            <w:vAlign w:val="center"/>
          </w:tcPr>
          <w:p>
            <w:pPr>
              <w:pStyle w:val="MdTableCell"/>
            </w:pPr>
            <w:r>
              <w:t xml:space="preserve">Application Owner, IAM, Access 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Privileged access, installation, and endpoint audit controls</w:t>
            </w:r>
          </w:p>
        </w:tc>
        <w:tc>
          <w:tcPr>
            <w:tcBorders>
              <w:right w:val="none"/>
            </w:tcBorders>
            <w:tcMar>
              <w:top w:type="dxa" w:w="80"/>
              <w:left w:type="dxa" w:w="120"/>
              <w:bottom w:type="dxa" w:w="80"/>
              <w:right w:type="dxa" w:w="120"/>
            </w:tcMar>
            <w:vAlign w:val="center"/>
          </w:tcPr>
          <w:p>
            <w:pPr>
              <w:pStyle w:val="MdTableCell"/>
            </w:pPr>
            <w:r>
              <w:t xml:space="preserve">Endpoint Engineering, Desktop Support, PAM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LOB outage target, business impact, and escalation path</w:t>
            </w:r>
          </w:p>
        </w:tc>
        <w:tc>
          <w:tcPr>
            <w:tcBorders>
              <w:right w:val="none"/>
            </w:tcBorders>
            <w:tcMar>
              <w:top w:type="dxa" w:w="80"/>
              <w:left w:type="dxa" w:w="120"/>
              <w:bottom w:type="dxa" w:w="80"/>
              <w:right w:type="dxa" w:w="120"/>
            </w:tcMar>
            <w:vAlign w:val="center"/>
          </w:tcPr>
          <w:p>
            <w:pPr>
              <w:pStyle w:val="MdTableCell"/>
            </w:pPr>
            <w:r>
              <w:t xml:space="preserve">LOB owner, QA Engineering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Primary and secondary access approvers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QA Engineering leadership</w:t>
            </w:r>
          </w:p>
        </w:tc>
      </w:tr>
    </w:tbl>
    <w:p>
      <w:pPr>
        <w:pStyle w:val="Heading2"/>
        <w:pStyle w:val="MdHeading2"/>
      </w:pPr>
      <w:r>
        <w:t xml:space="preserve">References</w:t>
      </w:r>
    </w:p>
    <w:p>
      <w:pPr>
        <w:pStyle w:val="MdParagraph"/>
      </w:pPr>
      <w:r>
        <w:t xml:space="preserve">[1] </w:t>
      </w:r>
      <w:hyperlink w:history="1" r:id="rIdrqicvttzivd6xr05lirou">
        <w:r>
          <w:rPr>
            <w:rStyle w:val="MdLink"/>
          </w:rPr>
          <w:t xml:space="preserve">NIST SP 800-218, Secure Software Development Framework (SSDF) Version 1.1</w:t>
        </w:r>
      </w:hyperlink>
      <w:r>
        <w:t xml:space="preserve">. NIST describes the SSDF as a core set of high-level secure software development practices that can be integrated into an SDLC to reduce software vulnerabilities and their impact.</w:t>
      </w:r>
    </w:p>
    <w:p>
      <w:pPr>
        <w:pStyle w:val="MdSpace"/>
        <w:spacing w:before="0" w:after="60"/>
      </w:pPr>
    </w:p>
    <w:p>
      <w:pPr>
        <w:pStyle w:val="MdParagraph"/>
      </w:pPr>
      <w:r>
        <w:t xml:space="preserve">[2] </w:t>
      </w:r>
      <w:hyperlink w:history="1" r:id="rIdwan4d2rcatzu_z8udbylg">
        <w:r>
          <w:rPr>
            <w:rStyle w:val="MdLink"/>
          </w:rPr>
          <w:t xml:space="preserve">OWASP Dependency-Check</w:t>
        </w:r>
      </w:hyperlink>
      <w:r>
        <w:t xml:space="preserve">. OWASP describes Dependency-Check as an SCA tool that attempts to identify publicly disclosed vulnerabilities in project dependencies and report associated CVE entries.</w:t>
      </w:r>
    </w:p>
    <w:p>
      <w:pPr>
        <w:pStyle w:val="MdSpace"/>
        <w:spacing w:before="0" w:after="60"/>
      </w:pPr>
    </w:p>
    <w:p>
      <w:pPr>
        <w:pStyle w:val="MdParagraph"/>
      </w:pPr>
      <w:r>
        <w:t xml:space="preserve">[3] Submitted </w:t>
      </w:r>
      <w:r>
        <w:rPr>
          <w:rStyle w:val="MdStrong"/>
          <w:b/>
          <w:bCs/>
        </w:rPr>
        <w:t xml:space="preserve">FNB-ETAF (First National Bank — Enterprise Test Automation Framework) Security Architecture Review</w:t>
      </w:r>
      <w:r>
        <w:t xml:space="preserve"> and reviewer screenshots provided by the requester in August–September 2026. Internal review material; no public URL.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qicvttzivd6xr05lirou" Type="http://schemas.openxmlformats.org/officeDocument/2006/relationships/hyperlink" Target="https://csrc.nist.gov/pubs/sp/800/218/final" TargetMode="External"/><Relationship Id="rIdwan4d2rcatzu_z8udbylg" Type="http://schemas.openxmlformats.org/officeDocument/2006/relationships/hyperlink" Target="https://owasp.org/www-project-dependency-check/"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2026-09-15T17:05:09.192Z</dcterms:created>
  <dcterms:modified xsi:type="dcterms:W3CDTF">2026-09-15T17:05:09.192Z</dcterms:modified>
</cp:coreProperties>
</file>

<file path=docProps/custom.xml><?xml version="1.0" encoding="utf-8"?>
<Properties xmlns="http://schemas.openxmlformats.org/officeDocument/2006/custom-properties" xmlns:vt="http://schemas.openxmlformats.org/officeDocument/2006/docPropsVTypes"/>
</file>