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2E75B6"/>
          <w:sz w:val="48"/>
          <w:szCs w:val="48"/>
        </w:rPr>
        <w:t xml:space="preserve">Sales Data Report</w:t>
      </w:r>
    </w:p>
    <w:p>
      <w:pPr>
        <w:spacing w:after="400"/>
        <w:jc w:val="center"/>
      </w:pPr>
      <w:r>
        <w:rPr>
          <w:rFonts w:ascii="Arial" w:cs="Arial" w:eastAsia="Arial" w:hAnsi="Arial"/>
          <w:color w:val="595959"/>
          <w:sz w:val="24"/>
          <w:szCs w:val="24"/>
        </w:rPr>
        <w:t xml:space="preserve">By Aziret Asanov</w:t>
      </w:r>
    </w:p>
    <w:p>
      <w:pPr>
        <w:pStyle w:val="Heading1"/>
      </w:pPr>
      <w:r>
        <w:rPr>
          <w:rFonts w:ascii="Arial" w:cs="Arial" w:eastAsia="Arial" w:hAnsi="Arial"/>
          <w:b/>
          <w:bCs/>
          <w:sz w:val="32"/>
          <w:szCs w:val="32"/>
        </w:rPr>
        <w:t xml:space="preserve">Introduction</w:t>
      </w:r>
    </w:p>
    <w:p>
      <w:pPr>
        <w:spacing w:after="160"/>
      </w:pPr>
      <w:r>
        <w:rPr>
          <w:rFonts w:ascii="Arial" w:cs="Arial" w:eastAsia="Arial" w:hAnsi="Arial"/>
          <w:sz w:val="22"/>
          <w:szCs w:val="22"/>
        </w:rPr>
        <w:t xml:space="preserve">This report aims to identify key drivers of sales performance across regions, products, and channels. The dataset covers sales transactions in Nigeria between July 2023 and July 2025. The key questions addressed in each section are as follows:</w:t>
      </w:r>
    </w:p>
    <w:p>
      <w:pPr>
        <w:pStyle w:val="ListParagraph"/>
        <w:numPr>
          <w:ilvl w:val="0"/>
          <w:numId w:val="2"/>
        </w:numPr>
      </w:pPr>
      <w:r>
        <w:rPr>
          <w:rFonts w:ascii="Arial" w:cs="Arial" w:eastAsia="Arial" w:hAnsi="Arial"/>
          <w:sz w:val="22"/>
          <w:szCs w:val="22"/>
        </w:rPr>
        <w:t xml:space="preserve">What is the overall revenue and revenue per year?</w:t>
      </w:r>
    </w:p>
    <w:p>
      <w:pPr>
        <w:pStyle w:val="ListParagraph"/>
        <w:numPr>
          <w:ilvl w:val="0"/>
          <w:numId w:val="2"/>
        </w:numPr>
      </w:pPr>
      <w:r>
        <w:rPr>
          <w:rFonts w:ascii="Arial" w:cs="Arial" w:eastAsia="Arial" w:hAnsi="Arial"/>
          <w:sz w:val="22"/>
          <w:szCs w:val="22"/>
        </w:rPr>
        <w:t xml:space="preserve">What state is performing best?</w:t>
      </w:r>
    </w:p>
    <w:p>
      <w:pPr>
        <w:pStyle w:val="ListParagraph"/>
        <w:numPr>
          <w:ilvl w:val="0"/>
          <w:numId w:val="2"/>
        </w:numPr>
      </w:pPr>
      <w:r>
        <w:rPr>
          <w:rFonts w:ascii="Arial" w:cs="Arial" w:eastAsia="Arial" w:hAnsi="Arial"/>
          <w:sz w:val="22"/>
          <w:szCs w:val="22"/>
        </w:rPr>
        <w:t xml:space="preserve">What is the product sold the most, by state?</w:t>
      </w:r>
    </w:p>
    <w:p>
      <w:pPr>
        <w:pStyle w:val="ListParagraph"/>
        <w:numPr>
          <w:ilvl w:val="0"/>
          <w:numId w:val="2"/>
        </w:numPr>
      </w:pPr>
      <w:r>
        <w:rPr>
          <w:rFonts w:ascii="Arial" w:cs="Arial" w:eastAsia="Arial" w:hAnsi="Arial"/>
          <w:sz w:val="22"/>
          <w:szCs w:val="22"/>
        </w:rPr>
        <w:t xml:space="preserve">What is the product sold the most in Nigeria as a whole?</w:t>
      </w:r>
    </w:p>
    <w:p>
      <w:pPr>
        <w:pStyle w:val="ListParagraph"/>
        <w:numPr>
          <w:ilvl w:val="0"/>
          <w:numId w:val="2"/>
        </w:numPr>
      </w:pPr>
      <w:r>
        <w:rPr>
          <w:rFonts w:ascii="Arial" w:cs="Arial" w:eastAsia="Arial" w:hAnsi="Arial"/>
          <w:sz w:val="22"/>
          <w:szCs w:val="22"/>
        </w:rPr>
        <w:t xml:space="preserve">Is there a relationship between the unit price of a product and the units sold?</w:t>
      </w:r>
    </w:p>
    <w:p>
      <w:pPr>
        <w:pStyle w:val="ListParagraph"/>
        <w:numPr>
          <w:ilvl w:val="0"/>
          <w:numId w:val="2"/>
        </w:numPr>
      </w:pPr>
      <w:r>
        <w:rPr>
          <w:rFonts w:ascii="Arial" w:cs="Arial" w:eastAsia="Arial" w:hAnsi="Arial"/>
          <w:sz w:val="22"/>
          <w:szCs w:val="22"/>
        </w:rPr>
        <w:t xml:space="preserve">Which sales channel is the most effective?</w:t>
      </w:r>
    </w:p>
    <w:p>
      <w:r>
        <w:t xml:space="preserve"/>
      </w:r>
    </w:p>
    <w:p>
      <w:pPr>
        <w:pStyle w:val="Heading1"/>
      </w:pPr>
      <w:r>
        <w:rPr>
          <w:rFonts w:ascii="Arial" w:cs="Arial" w:eastAsia="Arial" w:hAnsi="Arial"/>
          <w:b/>
          <w:bCs/>
          <w:sz w:val="32"/>
          <w:szCs w:val="32"/>
        </w:rPr>
        <w:t xml:space="preserve">Section 1: Overall Revenue and Revenue Per Year</w:t>
      </w:r>
    </w:p>
    <w:p>
      <w:pPr>
        <w:spacing w:after="160"/>
      </w:pPr>
      <w:r>
        <w:rPr>
          <w:rFonts w:ascii="Arial" w:cs="Arial" w:eastAsia="Arial" w:hAnsi="Arial"/>
          <w:sz w:val="22"/>
          <w:szCs w:val="22"/>
        </w:rPr>
        <w:t xml:space="preserve">The total revenue generated across all states and channels between July 2023 and July 2025 was ₦783,604,676.23. Revenue varied significantly across years, with 2025 recording the highest revenue at approximately ₦440,000,000, followed by 2023 at approximately ₦210,000,000, and 2024 recording the lowest at approximately ₦145,000,000. The drop in 2024 followed by a sharp recovery in 2025 warrants further investigation into whether this reflects seasonal trends, market conditions, or changes in sales strategy.</w:t>
      </w:r>
    </w:p>
    <w:p>
      <w:r>
        <w:t xml:space="preserve"/>
      </w:r>
    </w:p>
    <w:p>
      <w:pPr>
        <w:pStyle w:val="Heading1"/>
      </w:pPr>
      <w:r>
        <w:rPr>
          <w:rFonts w:ascii="Arial" w:cs="Arial" w:eastAsia="Arial" w:hAnsi="Arial"/>
          <w:b/>
          <w:bCs/>
          <w:sz w:val="32"/>
          <w:szCs w:val="32"/>
        </w:rPr>
        <w:t xml:space="preserve">Section 2: What State is Performing Best?</w:t>
      </w:r>
    </w:p>
    <w:p>
      <w:pPr>
        <w:spacing w:after="160"/>
      </w:pPr>
      <w:r>
        <w:rPr>
          <w:rFonts w:ascii="Arial" w:cs="Arial" w:eastAsia="Arial" w:hAnsi="Arial"/>
          <w:sz w:val="22"/>
          <w:szCs w:val="22"/>
        </w:rPr>
        <w:t xml:space="preserve">Regional performance was measured using two metrics: total units sold and total revenue generated. The results differ depending on the metric used.</w:t>
      </w:r>
    </w:p>
    <w:p>
      <w:pPr>
        <w:spacing w:after="160"/>
      </w:pPr>
      <w:r>
        <w:rPr>
          <w:rFonts w:ascii="Arial" w:cs="Arial" w:eastAsia="Arial" w:hAnsi="Arial"/>
          <w:sz w:val="22"/>
          <w:szCs w:val="22"/>
        </w:rPr>
        <w:t xml:space="preserve">By units sold, Benue is the top performing state with 500 units sold. By revenue, Rivers leads with ₦71,889,881.04 generated. This discrepancy indicates that Benue sells a higher volume of lower-priced products, while Rivers generates more revenue through higher-priced items. The worst performing state by both metrics is Ekiti.</w:t>
      </w:r>
    </w:p>
    <w:p>
      <w:pPr>
        <w:spacing w:after="160"/>
      </w:pPr>
      <w:r>
        <w:rPr>
          <w:rFonts w:ascii="Arial" w:cs="Arial" w:eastAsia="Arial" w:hAnsi="Arial"/>
          <w:sz w:val="22"/>
          <w:szCs w:val="22"/>
        </w:rPr>
        <w:t xml:space="preserve">This finding highlights that units sold alone is an insufficient measure of regional performance. Revenue-based analysis provides a more complete picture for business decision-making, particularly when allocating resources or planning regional strategies.</w:t>
      </w:r>
    </w:p>
    <w:p>
      <w:r>
        <w:t xml:space="preserve"/>
      </w:r>
    </w:p>
    <w:p>
      <w:pPr>
        <w:pStyle w:val="Heading1"/>
      </w:pPr>
      <w:r>
        <w:rPr>
          <w:rFonts w:ascii="Arial" w:cs="Arial" w:eastAsia="Arial" w:hAnsi="Arial"/>
          <w:b/>
          <w:bCs/>
          <w:sz w:val="32"/>
          <w:szCs w:val="32"/>
        </w:rPr>
        <w:t xml:space="preserve">Section 3: Most Sold Product by State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Most Sold Product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Units Sold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Abuja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Phone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Anambra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Bauchi</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Keyboard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Headphones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Borno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Monitor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 River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138</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Delta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Phone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Ekiti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Laptop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Enugu</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Keyboard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Headphones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Kaduna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Charger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Katsina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Headphones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116</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Niger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Oyo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Monitor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Plateau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Rivers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Charger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Sokoto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w:t>
            </w:r>
          </w:p>
        </w:tc>
      </w:tr>
    </w:tbl>
    <w:p>
      <w:r>
        <w:t xml:space="preserve"/>
      </w:r>
    </w:p>
    <w:p>
      <w:pPr>
        <w:spacing w:after="160"/>
      </w:pPr>
      <w:r>
        <w:rPr>
          <w:rFonts w:ascii="Arial" w:cs="Arial" w:eastAsia="Arial" w:hAnsi="Arial"/>
          <w:sz w:val="22"/>
          <w:szCs w:val="22"/>
        </w:rPr>
        <w:t xml:space="preserve">The best-selling product varies from state to state. Keyboard is the dominant product, leading in 6 states, followed by Charger, Monitor, and Headphones each leading in 3 states. Camera leads in no state, suggesting low demand nationally. This variation could reflect socio-demographic differences across regions and should be used to guide state-specific inventory allocation decisions.</w:t>
      </w:r>
    </w:p>
    <w:p>
      <w:r>
        <w:t xml:space="preserve"/>
      </w:r>
    </w:p>
    <w:p>
      <w:pPr>
        <w:pStyle w:val="Heading1"/>
      </w:pPr>
      <w:r>
        <w:rPr>
          <w:rFonts w:ascii="Arial" w:cs="Arial" w:eastAsia="Arial" w:hAnsi="Arial"/>
          <w:b/>
          <w:bCs/>
          <w:sz w:val="32"/>
          <w:szCs w:val="32"/>
        </w:rPr>
        <w:t xml:space="preserve">Section 4: Most Sold Product in Nigeria as a Whole</w:t>
      </w:r>
    </w:p>
    <w:p>
      <w:pPr>
        <w:spacing w:after="160"/>
      </w:pPr>
      <w:r>
        <w:rPr>
          <w:rFonts w:ascii="Arial" w:cs="Arial" w:eastAsia="Arial" w:hAnsi="Arial"/>
          <w:sz w:val="22"/>
          <w:szCs w:val="22"/>
        </w:rPr>
        <w:t xml:space="preserve">Nationally, the most sold product is the Keyboard with 1,076 units sold. The least sold product is the Camera. The gap between them is significant and can be partially explained by price differences — cameras are generally more expensive, which may suppress demand volume. High unit sales volume does not necessarily translate to higher revenue, as demonstrated in Section 1.</w:t>
      </w:r>
    </w:p>
    <w:p>
      <w:r>
        <w:t xml:space="preserve"/>
      </w:r>
    </w:p>
    <w:p>
      <w:pPr>
        <w:pStyle w:val="Heading1"/>
      </w:pPr>
      <w:r>
        <w:rPr>
          <w:rFonts w:ascii="Arial" w:cs="Arial" w:eastAsia="Arial" w:hAnsi="Arial"/>
          <w:b/>
          <w:bCs/>
          <w:sz w:val="32"/>
          <w:szCs w:val="32"/>
        </w:rPr>
        <w:t xml:space="preserve">Section 5: Relationship Between Unit Price and Units Sold</w:t>
      </w:r>
    </w:p>
    <w:p>
      <w:pPr>
        <w:spacing w:after="160"/>
      </w:pPr>
      <w:r>
        <w:rPr>
          <w:rFonts w:ascii="Arial" w:cs="Arial" w:eastAsia="Arial" w:hAnsi="Arial"/>
          <w:sz w:val="22"/>
          <w:szCs w:val="22"/>
        </w:rPr>
        <w:t xml:space="preserve">The Pearson correlation coefficient between unit price and units sold is r = -0.0261, indicating virtually no linear relationship between the two variables. This near-zero correlation suggests that product price plays almost no role in determining how many units are sold.</w:t>
      </w:r>
    </w:p>
    <w:p>
      <w:pPr>
        <w:spacing w:after="160"/>
      </w:pPr>
      <w:r>
        <w:rPr>
          <w:rFonts w:ascii="Arial" w:cs="Arial" w:eastAsia="Arial" w:hAnsi="Arial"/>
          <w:sz w:val="22"/>
          <w:szCs w:val="22"/>
        </w:rPr>
        <w:t xml:space="preserve">In a business context, this implies that varying prices to meet business needs — such as margin targets — is unlikely to significantly impact sales volumes. Other factors, such as product utility, availability, or marketing, are likely the primary drivers of purchasing behaviour.</w:t>
      </w:r>
    </w:p>
    <w:p>
      <w:r>
        <w:t xml:space="preserve"/>
      </w:r>
    </w:p>
    <w:p>
      <w:pPr>
        <w:pStyle w:val="Heading1"/>
      </w:pPr>
      <w:r>
        <w:rPr>
          <w:rFonts w:ascii="Arial" w:cs="Arial" w:eastAsia="Arial" w:hAnsi="Arial"/>
          <w:b/>
          <w:bCs/>
          <w:sz w:val="32"/>
          <w:szCs w:val="32"/>
        </w:rPr>
        <w:t xml:space="preserve">Section 6: Which Sales Channel is Most Effective?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Sales Channel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Units Sold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Revenue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Online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1,657</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₦235,803,200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₦215,225,700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Wholesale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1,115</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₦167,084,500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₦165,491,300</w:t>
            </w:r>
          </w:p>
        </w:tc>
      </w:tr>
    </w:tbl>
    <w:p>
      <w:r>
        <w:t xml:space="preserve"/>
      </w:r>
    </w:p>
    <w:p>
      <w:pPr>
        <w:spacing w:after="160"/>
      </w:pPr>
      <w:r>
        <w:rPr>
          <w:rFonts w:ascii="Arial" w:cs="Arial" w:eastAsia="Arial" w:hAnsi="Arial"/>
          <w:sz w:val="22"/>
          <w:szCs w:val="22"/>
        </w:rPr>
        <w:t xml:space="preserve">Online is the most effective sales channel by both units sold (1,657) and revenue generated (₦235,803,200). Direct sales is the weakest channel by both metrics. Notably, the ranking by units sold and by revenue is identical across all four channels, which differs from the regional analysis where the two metrics told different stories.</w:t>
      </w:r>
    </w:p>
    <w:p>
      <w:pPr>
        <w:spacing w:after="160"/>
      </w:pPr>
      <w:r>
        <w:rPr>
          <w:rFonts w:ascii="Arial" w:cs="Arial" w:eastAsia="Arial" w:hAnsi="Arial"/>
          <w:sz w:val="22"/>
          <w:szCs w:val="22"/>
        </w:rPr>
        <w:t xml:space="preserve">These results reflect the growing importance of digital commerce and suggest that further investment in the online channel would likely yield the highest return. The underperformance of direct sales may warrant a review of that channel’s cost-effectiveness.</w:t>
      </w:r>
    </w:p>
    <w:p>
      <w:r>
        <w:t xml:space="preserve"/>
      </w:r>
    </w:p>
    <w:p>
      <w:pPr>
        <w:pStyle w:val="Heading1"/>
      </w:pPr>
      <w:r>
        <w:rPr>
          <w:rFonts w:ascii="Arial" w:cs="Arial" w:eastAsia="Arial" w:hAnsi="Arial"/>
          <w:b/>
          <w:bCs/>
          <w:sz w:val="32"/>
          <w:szCs w:val="32"/>
        </w:rPr>
        <w:t xml:space="preserve">Conclusion</w:t>
      </w:r>
    </w:p>
    <w:p>
      <w:pPr>
        <w:spacing w:after="160"/>
      </w:pPr>
      <w:r>
        <w:rPr>
          <w:rFonts w:ascii="Arial" w:cs="Arial" w:eastAsia="Arial" w:hAnsi="Arial"/>
          <w:sz w:val="22"/>
          <w:szCs w:val="22"/>
        </w:rPr>
        <w:t xml:space="preserve">Sales performance varies significantly by region and product, with certain products consistently leading across states. The online channel outperforms all others in both volume and revenue. No meaningful relationship between price and demand was observed, suggesting other factors drive purchasing behaviour. Importantly, units sold and revenue do not always align — a finding consistent across both regional and product analyses — which means business decisions should be evaluated against both metrics simultaneously. These insights can guide inventory allocation, channel investment, and regional sales strategy.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amp;#x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2026-05-07T11:56:09.411Z</dcterms:created>
  <dcterms:modified xsi:type="dcterms:W3CDTF">2026-05-07T11:56:09.411Z</dcterms:modified>
</cp:coreProperties>
</file>

<file path=docProps/custom.xml><?xml version="1.0" encoding="utf-8"?>
<Properties xmlns="http://schemas.openxmlformats.org/officeDocument/2006/custom-properties" xmlns:vt="http://schemas.openxmlformats.org/officeDocument/2006/docPropsVTypes"/>
</file>