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rFonts w:ascii="Arial" w:cs="Arial" w:eastAsia="Arial" w:hAnsi="Arial"/>
          <w:b/>
          <w:bCs/>
          <w:color w:val="101820"/>
          <w:sz w:val="36"/>
          <w:szCs w:val="36"/>
          <w:rtl/>
        </w:rPr>
        <w:t xml:space="preserve">التصميم التقني المقترح لنظام أثر</w:t>
      </w:r>
    </w:p>
    <w:p>
      <w:pPr>
        <w:bidi/>
        <w:spacing w:after="250"/>
        <w:jc w:val="right"/>
      </w:pPr>
      <w:r>
        <w:rPr>
          <w:rFonts w:ascii="Arial" w:cs="Arial" w:eastAsia="Arial" w:hAnsi="Arial"/>
          <w:color w:val="0F6E6B"/>
          <w:sz w:val="22"/>
          <w:szCs w:val="22"/>
          <w:rtl/>
        </w:rPr>
        <w:t xml:space="preserve">شرح موجز للأشكال الثلاثة — مرافق لملف Athar_Technical_Diagram.png / .svg</w:t>
      </w:r>
    </w:p>
    <w:p>
      <w:pPr>
        <w:bidi/>
        <w:spacing w:after="250"/>
        <w:jc w:val="right"/>
      </w:pPr>
      <w:r>
        <w:rPr>
          <w:rFonts w:ascii="Arial" w:cs="Arial" w:eastAsia="Arial" w:hAnsi="Arial"/>
          <w:color w:val="5A6472"/>
          <w:sz w:val="21"/>
          <w:szCs w:val="21"/>
          <w:rtl/>
        </w:rPr>
        <w:t xml:space="preserve">هذا شرح موجز يربط كل رقم مرجعي في الرسم بوظيفته، ليساعد المختص على قراءة الأشكال الثلاثة بسرعة. الترقيم (101–108) ثابت في الأشكال كلها.</w:t>
      </w:r>
    </w:p>
    <w:p>
      <w:pPr>
        <w:pBdr>
          <w:bottom w:val="single" w:color="0F6E6B" w:sz="6" w:space="4"/>
        </w:pBdr>
        <w:bidi/>
        <w:spacing w:after="200" w:before="300"/>
        <w:jc w:val="right"/>
      </w:pPr>
      <w:r>
        <w:rPr>
          <w:rFonts w:ascii="Arial" w:cs="Arial" w:eastAsia="Arial" w:hAnsi="Arial"/>
          <w:b/>
          <w:bCs/>
          <w:color w:val="101820"/>
          <w:sz w:val="30"/>
          <w:szCs w:val="30"/>
          <w:rtl/>
        </w:rPr>
        <w:t xml:space="preserve">الشكل (1): بنية النظام وتدفق البيانات</w:t>
      </w:r>
    </w:p>
    <w:p>
      <w:pPr>
        <w:bidi/>
        <w:spacing w:after="180"/>
        <w:jc w:val="right"/>
      </w:pPr>
      <w:r>
        <w:rPr>
          <w:rFonts w:ascii="Arial" w:cs="Arial" w:eastAsia="Arial" w:hAnsi="Arial"/>
          <w:color w:val="1A1A1A"/>
          <w:sz w:val="21"/>
          <w:szCs w:val="21"/>
          <w:rtl/>
        </w:rPr>
        <w:t xml:space="preserve">يوضح هذا الشكل مكوّنات النظام الثمانية وكيف تتبادل البيانات فيما بينها. تطبيق المسافر (101) وواجهة المتابعة (108) يعملان على جهاز المستخدم (الهاتف)، بينما بقية المكونات (102–107) هي وحدات برمجية تعمل داخل إطار «خدمات النظام على استضافة جاهزة» — أي استضافة حاسوبية اعتيادية، دون أي جهاز تتبع خارجي أو حساس خاص.</w:t>
      </w:r>
    </w:p>
    <w:p>
      <w:pPr>
        <w:bidi/>
        <w:spacing w:after="110"/>
        <w:jc w:val="right"/>
      </w:pPr>
      <w:r>
        <w:rPr>
          <w:rFonts w:ascii="Arial" w:cs="Arial" w:eastAsia="Arial" w:hAnsi="Arial"/>
          <w:b/>
          <w:bCs/>
          <w:color w:val="101820"/>
          <w:sz w:val="21"/>
          <w:szCs w:val="21"/>
          <w:rtl/>
        </w:rPr>
        <w:t xml:space="preserve">(101) تطبيق المسافر (Flutter) — </w:t>
      </w:r>
      <w:r>
        <w:rPr>
          <w:rFonts w:ascii="Arial" w:cs="Arial" w:eastAsia="Arial" w:hAnsi="Arial"/>
          <w:color w:val="1A1A1A"/>
          <w:sz w:val="21"/>
          <w:szCs w:val="21"/>
          <w:rtl/>
        </w:rPr>
        <w:t xml:space="preserve">يسجّل خطة الرحلة وموعد الاطمئنان وبيانات المركبة والركاب، ويرسل «دفعة قياسات» من مواقع الهاتف المتاحة.</w:t>
      </w:r>
    </w:p>
    <w:p>
      <w:pPr>
        <w:bidi/>
        <w:spacing w:after="110"/>
        <w:jc w:val="right"/>
      </w:pPr>
      <w:r>
        <w:rPr>
          <w:rFonts w:ascii="Arial" w:cs="Arial" w:eastAsia="Arial" w:hAnsi="Arial"/>
          <w:b/>
          <w:bCs/>
          <w:color w:val="101820"/>
          <w:sz w:val="21"/>
          <w:szCs w:val="21"/>
          <w:rtl/>
        </w:rPr>
        <w:t xml:space="preserve">(102) استقبال البيانات والتحقق (Python · FastAPI) — </w:t>
      </w:r>
      <w:r>
        <w:rPr>
          <w:rFonts w:ascii="Arial" w:cs="Arial" w:eastAsia="Arial" w:hAnsi="Arial"/>
          <w:color w:val="1A1A1A"/>
          <w:sz w:val="21"/>
          <w:szCs w:val="21"/>
          <w:rtl/>
        </w:rPr>
        <w:t xml:space="preserve">يستقبل القياسات، يتحقق من حقولها، يختم وقت الوصول، ويمنع احتساب القياس المكرر عبر معرّفه الفريد. يمرّر «أدلة مقبولة» إلى (103).</w:t>
      </w:r>
    </w:p>
    <w:p>
      <w:pPr>
        <w:bidi/>
        <w:spacing w:after="110"/>
        <w:jc w:val="right"/>
      </w:pPr>
      <w:r>
        <w:rPr>
          <w:rFonts w:ascii="Arial" w:cs="Arial" w:eastAsia="Arial" w:hAnsi="Arial"/>
          <w:b/>
          <w:bCs/>
          <w:color w:val="101820"/>
          <w:sz w:val="21"/>
          <w:szCs w:val="21"/>
          <w:rtl/>
        </w:rPr>
        <w:t xml:space="preserve">(103) قاعدة البيانات المكانية والزمنية (PostgreSQL · PostGIS) — </w:t>
      </w:r>
      <w:r>
        <w:rPr>
          <w:rFonts w:ascii="Arial" w:cs="Arial" w:eastAsia="Arial" w:hAnsi="Arial"/>
          <w:color w:val="1A1A1A"/>
          <w:sz w:val="21"/>
          <w:szCs w:val="21"/>
          <w:rtl/>
        </w:rPr>
        <w:t xml:space="preserve">المخزن المركزي: الرحلات، القياسات، المشاهدات، نقاط الاستعادة الحسابية، وإصدارات خرائط البحث.</w:t>
      </w:r>
    </w:p>
    <w:p>
      <w:pPr>
        <w:bidi/>
        <w:spacing w:after="110"/>
        <w:jc w:val="right"/>
      </w:pPr>
      <w:r>
        <w:rPr>
          <w:rFonts w:ascii="Arial" w:cs="Arial" w:eastAsia="Arial" w:hAnsi="Arial"/>
          <w:b/>
          <w:bCs/>
          <w:color w:val="101820"/>
          <w:sz w:val="21"/>
          <w:szCs w:val="21"/>
          <w:rtl/>
        </w:rPr>
        <w:t xml:space="preserve">(104) محرك التحليل المكاني والاحتمالي (Python · NumPy) — </w:t>
      </w:r>
      <w:r>
        <w:rPr>
          <w:rFonts w:ascii="Arial" w:cs="Arial" w:eastAsia="Arial" w:hAnsi="Arial"/>
          <w:color w:val="1A1A1A"/>
          <w:sz w:val="21"/>
          <w:szCs w:val="21"/>
          <w:rtl/>
        </w:rPr>
        <w:t xml:space="preserve">يستخدم H3 لتجميع النتائج في خلايا جغرافية، وNetworkX وDijkstra لحساب أزمنة المسارات، واستدلالًا بايزيًا متتابعًا لتحديث أوزان المواقع المحتملة.</w:t>
      </w:r>
    </w:p>
    <w:p>
      <w:pPr>
        <w:bidi/>
        <w:spacing w:after="110"/>
        <w:jc w:val="right"/>
      </w:pPr>
      <w:r>
        <w:rPr>
          <w:rFonts w:ascii="Arial" w:cs="Arial" w:eastAsia="Arial" w:hAnsi="Arial"/>
          <w:b/>
          <w:bCs/>
          <w:color w:val="101820"/>
          <w:sz w:val="21"/>
          <w:szCs w:val="21"/>
          <w:rtl/>
        </w:rPr>
        <w:t xml:space="preserve">(105) معالجة الأدلة المتأخرة — </w:t>
      </w:r>
      <w:r>
        <w:rPr>
          <w:rFonts w:ascii="Arial" w:cs="Arial" w:eastAsia="Arial" w:hAnsi="Arial"/>
          <w:color w:val="1A1A1A"/>
          <w:sz w:val="21"/>
          <w:szCs w:val="21"/>
          <w:rtl/>
        </w:rPr>
        <w:t xml:space="preserve">عند وصول دليل متأخر زمنيًا، يسترجع نقطة استعادة سابقة مناسبة من (103) ويشغّل «إعادة حساب» في (104) — وهذا هو سهم إعادة الحساب الوحيد المميَّز بالمفتاح.</w:t>
      </w:r>
    </w:p>
    <w:p>
      <w:pPr>
        <w:bidi/>
        <w:spacing w:after="110"/>
        <w:jc w:val="right"/>
      </w:pPr>
      <w:r>
        <w:rPr>
          <w:rFonts w:ascii="Arial" w:cs="Arial" w:eastAsia="Arial" w:hAnsi="Arial"/>
          <w:b/>
          <w:bCs/>
          <w:color w:val="101820"/>
          <w:sz w:val="21"/>
          <w:szCs w:val="21"/>
          <w:rtl/>
        </w:rPr>
        <w:t xml:space="preserve">(106) ترتيب مناطق البحث — </w:t>
      </w:r>
      <w:r>
        <w:rPr>
          <w:rFonts w:ascii="Arial" w:cs="Arial" w:eastAsia="Arial" w:hAnsi="Arial"/>
          <w:color w:val="1A1A1A"/>
          <w:sz w:val="21"/>
          <w:szCs w:val="21"/>
          <w:rtl/>
        </w:rPr>
        <w:t xml:space="preserve">يجمع أوزان الحالات داخل كل منطقة من (104) ويربطها بزمن الوصول والتفتيش، لينتج «مناطق مرتبة» تُحفظ كإصدار جديد في (103) وتُعرض في (108).</w:t>
      </w:r>
    </w:p>
    <w:p>
      <w:pPr>
        <w:bidi/>
        <w:spacing w:after="110"/>
        <w:jc w:val="right"/>
      </w:pPr>
      <w:r>
        <w:rPr>
          <w:rFonts w:ascii="Arial" w:cs="Arial" w:eastAsia="Arial" w:hAnsi="Arial"/>
          <w:b/>
          <w:bCs/>
          <w:color w:val="101820"/>
          <w:sz w:val="21"/>
          <w:szCs w:val="21"/>
          <w:rtl/>
        </w:rPr>
        <w:t xml:space="preserve">(107) مراقبة موعد الاطمئنان — </w:t>
      </w:r>
      <w:r>
        <w:rPr>
          <w:rFonts w:ascii="Arial" w:cs="Arial" w:eastAsia="Arial" w:hAnsi="Arial"/>
          <w:color w:val="1A1A1A"/>
          <w:sz w:val="21"/>
          <w:szCs w:val="21"/>
          <w:rtl/>
        </w:rPr>
        <w:t xml:space="preserve">خدمة خلفية دورية تقارن الساعة الحالية بموعد الاطمئنان والمهلة المحفوظين في (103)، وتُصدر «تنبيه تأخر» إلى (108) عند تجاوزهما دون تأكيد سلامة.</w:t>
      </w:r>
    </w:p>
    <w:p>
      <w:pPr>
        <w:bidi/>
        <w:spacing w:after="110"/>
        <w:jc w:val="right"/>
      </w:pPr>
      <w:r>
        <w:rPr>
          <w:rFonts w:ascii="Arial" w:cs="Arial" w:eastAsia="Arial" w:hAnsi="Arial"/>
          <w:b/>
          <w:bCs/>
          <w:color w:val="101820"/>
          <w:sz w:val="21"/>
          <w:szCs w:val="21"/>
          <w:rtl/>
        </w:rPr>
        <w:t xml:space="preserve">(108) واجهة المتابعة (TypeScript · MapLibre GL JS) — </w:t>
      </w:r>
      <w:r>
        <w:rPr>
          <w:rFonts w:ascii="Arial" w:cs="Arial" w:eastAsia="Arial" w:hAnsi="Arial"/>
          <w:color w:val="1A1A1A"/>
          <w:sz w:val="21"/>
          <w:szCs w:val="21"/>
          <w:rtl/>
        </w:rPr>
        <w:t xml:space="preserve">تعرض بطاقة الرحلة والقياسات المستلمة والمناطق التقديرية وأسباب ترتيبها، وتتيح للمخوَّل إدخال «مشاهدة جديدة» أو تسجيل تفتيش منطقة — وهي بيانات تعود إلى (102) كدَورة تغذية راجعة.</w:t>
      </w:r>
    </w:p>
    <w:p>
      <w:pPr>
        <w:bidi/>
        <w:spacing w:after="260"/>
        <w:jc w:val="right"/>
      </w:pPr>
      <w:r>
        <w:rPr>
          <w:rFonts w:ascii="Arial" w:cs="Arial" w:eastAsia="Arial" w:hAnsi="Arial"/>
          <w:color w:val="5A6472"/>
          <w:sz w:val="21"/>
          <w:szCs w:val="21"/>
          <w:rtl/>
        </w:rPr>
        <w:t xml:space="preserve">مفتاح الأشكال يميّز بصريًا بين أسهم نقل البيانات (سهم أسود ممتلئ) وسهم تشغيل إعادة الحساب الوحيد (سهم برتقالي)، وبين وحدة برمجية (مربّع) ونقطة قرار (معيَّن) — وهو مفتاح موحّد يُستخدم في الأشكال الثلاثة.</w:t>
      </w:r>
    </w:p>
    <w:p>
      <w:pPr>
        <w:pBdr>
          <w:bottom w:val="single" w:color="0F6E6B" w:sz="6" w:space="4"/>
        </w:pBdr>
        <w:bidi/>
        <w:spacing w:after="200" w:before="300"/>
        <w:jc w:val="right"/>
      </w:pPr>
      <w:r>
        <w:rPr>
          <w:rFonts w:ascii="Arial" w:cs="Arial" w:eastAsia="Arial" w:hAnsi="Arial"/>
          <w:b/>
          <w:bCs/>
          <w:color w:val="101820"/>
          <w:sz w:val="30"/>
          <w:szCs w:val="30"/>
          <w:rtl/>
        </w:rPr>
        <w:t xml:space="preserve">الشكل (2): آلية المعالجة خطوة بخطوة</w:t>
      </w:r>
    </w:p>
    <w:p>
      <w:pPr>
        <w:bidi/>
        <w:spacing w:after="160"/>
        <w:jc w:val="right"/>
      </w:pPr>
      <w:r>
        <w:rPr>
          <w:rFonts w:ascii="Arial" w:cs="Arial" w:eastAsia="Arial" w:hAnsi="Arial"/>
          <w:color w:val="1A1A1A"/>
          <w:sz w:val="21"/>
          <w:szCs w:val="21"/>
          <w:rtl/>
        </w:rPr>
        <w:t xml:space="preserve">يفصّل هذا الشكل تسلسل المعالجة داخل (102)–(106) خطوة بخطوة مع فرعي قرار، بالإضافة إلى مسار مستقل تمامًا لمراقبة موعد الاطمئنان (يقابل المكوّن 107).</w:t>
      </w:r>
    </w:p>
    <w:p>
      <w:pPr>
        <w:bidi/>
        <w:spacing w:after="130" w:before="220"/>
        <w:jc w:val="right"/>
      </w:pPr>
      <w:r>
        <w:rPr>
          <w:rFonts w:ascii="Arial" w:cs="Arial" w:eastAsia="Arial" w:hAnsi="Arial"/>
          <w:b/>
          <w:bCs/>
          <w:color w:val="0F6E6B"/>
          <w:sz w:val="25"/>
          <w:szCs w:val="25"/>
          <w:rtl/>
        </w:rPr>
        <w:t xml:space="preserve">المسار الرئيسي</w:t>
      </w:r>
    </w:p>
    <w:p>
      <w:pPr>
        <w:bidi/>
        <w:spacing w:after="90"/>
        <w:jc w:val="right"/>
      </w:pPr>
      <w:r>
        <w:rPr>
          <w:rFonts w:ascii="Arial" w:cs="Arial" w:eastAsia="Arial" w:hAnsi="Arial"/>
          <w:color w:val="1A1A1A"/>
          <w:sz w:val="21"/>
          <w:szCs w:val="21"/>
          <w:rtl/>
        </w:rPr>
        <w:t xml:space="preserve">١. استقبال قياس بحقوله (معرّف، إحداثيات، وقت تسجيل، دقة، مصدر) + وقت وصول يضيفه الخادم.</w:t>
      </w:r>
    </w:p>
    <w:p>
      <w:pPr>
        <w:bidi/>
        <w:spacing w:after="90"/>
        <w:jc w:val="right"/>
      </w:pPr>
      <w:r>
        <w:rPr>
          <w:rFonts w:ascii="Arial" w:cs="Arial" w:eastAsia="Arial" w:hAnsi="Arial"/>
          <w:color w:val="1A1A1A"/>
          <w:sz w:val="21"/>
          <w:szCs w:val="21"/>
          <w:rtl/>
        </w:rPr>
        <w:t xml:space="preserve">٢. فرع قرار: هل معرّف القياس مكرر؟ إن كان كذلك، يُؤكَّد الاستلام دون احتساب وتُربط النسخة بمصدرها الأصلي، وتنتهي المعالجة عند هذا الفرع.</w:t>
      </w:r>
    </w:p>
    <w:p>
      <w:pPr>
        <w:bidi/>
        <w:spacing w:after="90"/>
        <w:jc w:val="right"/>
      </w:pPr>
      <w:r>
        <w:rPr>
          <w:rFonts w:ascii="Arial" w:cs="Arial" w:eastAsia="Arial" w:hAnsi="Arial"/>
          <w:color w:val="1A1A1A"/>
          <w:sz w:val="21"/>
          <w:szCs w:val="21"/>
          <w:rtl/>
        </w:rPr>
        <w:t xml:space="preserve">٣. فرع قرار: هل الدليل متأخر عن آخر حالة محسوبة؟ إن كان كذلك، تُسترجع نقطة استعادة سابقة (يقابلها المكوّن 105) ويُدرج الدليل ضمن تسلسله الزمني الصحيح، ثم تُعاد المعالجة حتى وقت إصدار الخريطة.</w:t>
      </w:r>
    </w:p>
    <w:p>
      <w:pPr>
        <w:bidi/>
        <w:spacing w:after="90"/>
        <w:jc w:val="right"/>
      </w:pPr>
      <w:r>
        <w:rPr>
          <w:rFonts w:ascii="Arial" w:cs="Arial" w:eastAsia="Arial" w:hAnsi="Arial"/>
          <w:color w:val="1A1A1A"/>
          <w:sz w:val="21"/>
          <w:szCs w:val="21"/>
          <w:rtl/>
        </w:rPr>
        <w:t xml:space="preserve">٤. تقدير الحركة: حساب أزمنة عبور الطرق من طولها وسرعة الحركة المفترضة ومعامل التضاريس، مع ترجيح المسارات وفق خطة الرحلة والإبقاء على بدائل ممكنة.</w:t>
      </w:r>
    </w:p>
    <w:p>
      <w:pPr>
        <w:bidi/>
        <w:spacing w:after="90"/>
        <w:jc w:val="right"/>
      </w:pPr>
      <w:r>
        <w:rPr>
          <w:rFonts w:ascii="Arial" w:cs="Arial" w:eastAsia="Arial" w:hAnsi="Arial"/>
          <w:color w:val="1A1A1A"/>
          <w:sz w:val="21"/>
          <w:szCs w:val="21"/>
          <w:rtl/>
        </w:rPr>
        <w:t xml:space="preserve">٥. تحديث الأوزان وفق العلاقة: الوزن المحدَّث = تطبيع (الوزن المتوقع × معامل توافق الدليل). معامل التوافق يعتمد على الموقع والدقة والمصدر، وهي ترجيحات نموذج داخلية وليست نسب دقة مثبتة.</w:t>
      </w:r>
    </w:p>
    <w:p>
      <w:pPr>
        <w:bidi/>
        <w:spacing w:after="90"/>
        <w:jc w:val="right"/>
      </w:pPr>
      <w:r>
        <w:rPr>
          <w:rFonts w:ascii="Arial" w:cs="Arial" w:eastAsia="Arial" w:hAnsi="Arial"/>
          <w:color w:val="1A1A1A"/>
          <w:sz w:val="21"/>
          <w:szCs w:val="21"/>
          <w:rtl/>
        </w:rPr>
        <w:t xml:space="preserve">٦. ترتيب المناطق وفق الصيغة: S = W / (T_access + T_search + τ₀)، حيث W مجموع أوزان الحالات داخل المنطقة، وT_access وT_search زمنا الوصول والتفتيش المقدَّران، وτ₀ ثابت زمني موجب بالوحدة نفسها لتفادي القسمة على صفر. يُسمَّى الناتج S «مؤشر أولوية تقديري».</w:t>
      </w:r>
    </w:p>
    <w:p>
      <w:pPr>
        <w:bidi/>
        <w:spacing w:after="180"/>
        <w:jc w:val="right"/>
      </w:pPr>
      <w:r>
        <w:rPr>
          <w:rFonts w:ascii="Arial" w:cs="Arial" w:eastAsia="Arial" w:hAnsi="Arial"/>
          <w:color w:val="1A1A1A"/>
          <w:sz w:val="21"/>
          <w:szCs w:val="21"/>
          <w:rtl/>
        </w:rPr>
        <w:t xml:space="preserve">٧. نشر إصدار جديد: حفظ النتيجة مع معرّفات الأدلة وإعدادات النموذج، وعرض أسباب تغيّر الأولويات للمسؤول عن البحث في واجهة المتابعة (108).</w:t>
      </w:r>
    </w:p>
    <w:p>
      <w:pPr>
        <w:bidi/>
        <w:spacing w:after="130" w:before="220"/>
        <w:jc w:val="right"/>
      </w:pPr>
      <w:r>
        <w:rPr>
          <w:rFonts w:ascii="Arial" w:cs="Arial" w:eastAsia="Arial" w:hAnsi="Arial"/>
          <w:b/>
          <w:bCs/>
          <w:color w:val="0F6E6B"/>
          <w:sz w:val="25"/>
          <w:szCs w:val="25"/>
          <w:rtl/>
        </w:rPr>
        <w:t xml:space="preserve">المسار المستقل: مراقبة موعد الاطمئنان</w:t>
      </w:r>
    </w:p>
    <w:p>
      <w:pPr>
        <w:bidi/>
        <w:spacing w:after="260"/>
        <w:jc w:val="right"/>
      </w:pPr>
      <w:r>
        <w:rPr>
          <w:rFonts w:ascii="Arial" w:cs="Arial" w:eastAsia="Arial" w:hAnsi="Arial"/>
          <w:color w:val="1A1A1A"/>
          <w:sz w:val="21"/>
          <w:szCs w:val="21"/>
          <w:rtl/>
        </w:rPr>
        <w:t xml:space="preserve">مقارنة دورية على الخادم بين الساعة الحالية وموعد الاطمئنان والمهلة (المحفوظين في 103). عند تجاوز الموعد دون تأكيد سلامة، يُنشأ تنبيه تأخر يصل إلى (108). ملاحظة مهمة موضَّحة في الرسم: وصول موقع جديد وحده لا يُعد تأكيدًا للسلامة — أي أن هذا المسار مستقل تمامًا عن مسار معالجة القياسات.</w:t>
      </w:r>
    </w:p>
    <w:p>
      <w:pPr>
        <w:pBdr>
          <w:bottom w:val="single" w:color="0F6E6B" w:sz="6" w:space="4"/>
        </w:pBdr>
        <w:bidi/>
        <w:spacing w:after="200" w:before="300"/>
        <w:jc w:val="right"/>
      </w:pPr>
      <w:r>
        <w:rPr>
          <w:rFonts w:ascii="Arial" w:cs="Arial" w:eastAsia="Arial" w:hAnsi="Arial"/>
          <w:b/>
          <w:bCs/>
          <w:color w:val="101820"/>
          <w:sz w:val="30"/>
          <w:szCs w:val="30"/>
          <w:rtl/>
        </w:rPr>
        <w:t xml:space="preserve">الشكل (3): مثال يشرح التعامل مع موقع متأخر</w:t>
      </w:r>
    </w:p>
    <w:p>
      <w:pPr>
        <w:bidi/>
        <w:spacing w:after="150"/>
        <w:jc w:val="right"/>
      </w:pPr>
      <w:r>
        <w:rPr>
          <w:rFonts w:ascii="Arial" w:cs="Arial" w:eastAsia="Arial" w:hAnsi="Arial"/>
          <w:color w:val="1A1A1A"/>
          <w:sz w:val="21"/>
          <w:szCs w:val="21"/>
          <w:rtl/>
        </w:rPr>
        <w:t xml:space="preserve">مثال توضيحي رقمي (وليس نتيجة اختبار فعلي) يبيّن كيف يتعامل النظام مع دليل يصل متأخرًا بسبب انقطاع الاتصال:</w:t>
      </w:r>
    </w:p>
    <w:p>
      <w:pPr>
        <w:bidi/>
        <w:spacing w:after="70"/>
        <w:jc w:val="right"/>
      </w:pPr>
      <w:r>
        <w:rPr>
          <w:rFonts w:ascii="Arial" w:cs="Arial" w:eastAsia="Arial" w:hAnsi="Arial"/>
          <w:color w:val="1A1A1A"/>
          <w:sz w:val="21"/>
          <w:szCs w:val="21"/>
          <w:rtl/>
        </w:rPr>
        <w:t xml:space="preserve">• 16:00 — آخر قياس مستلم بينما الاتصال متوفر.</w:t>
      </w:r>
    </w:p>
    <w:p>
      <w:pPr>
        <w:bidi/>
        <w:spacing w:after="70"/>
        <w:jc w:val="right"/>
      </w:pPr>
      <w:r>
        <w:rPr>
          <w:rFonts w:ascii="Arial" w:cs="Arial" w:eastAsia="Arial" w:hAnsi="Arial"/>
          <w:color w:val="1A1A1A"/>
          <w:sz w:val="21"/>
          <w:szCs w:val="21"/>
          <w:rtl/>
        </w:rPr>
        <w:t xml:space="preserve">• 16:20 — يسجّل الهاتف قياسًا محليًا أثناء غياب الاتصال (لم يصل بعد للخادم).</w:t>
      </w:r>
    </w:p>
    <w:p>
      <w:pPr>
        <w:bidi/>
        <w:spacing w:after="150"/>
        <w:jc w:val="right"/>
      </w:pPr>
      <w:r>
        <w:rPr>
          <w:rFonts w:ascii="Arial" w:cs="Arial" w:eastAsia="Arial" w:hAnsi="Arial"/>
          <w:color w:val="1A1A1A"/>
          <w:sz w:val="21"/>
          <w:szCs w:val="21"/>
          <w:rtl/>
        </w:rPr>
        <w:t xml:space="preserve">• 16:40 — يصل القياس المسجَّل عند 16:20 إلى الخادم، فتُعاد المعالجة (الخطوات ٣–٦ في الشكل ٢) وتُعاد تقدير الحركة خلال الفترة الفاصلة.</w:t>
      </w:r>
    </w:p>
    <w:p>
      <w:pPr>
        <w:bidi/>
        <w:spacing w:after="260"/>
        <w:jc w:val="right"/>
      </w:pPr>
      <w:r>
        <w:rPr>
          <w:rFonts w:ascii="Arial" w:cs="Arial" w:eastAsia="Arial" w:hAnsi="Arial"/>
          <w:color w:val="1A1A1A"/>
          <w:sz w:val="21"/>
          <w:szCs w:val="21"/>
          <w:rtl/>
        </w:rPr>
        <w:t xml:space="preserve">توضّح الخريطة التخطيطية المرافقة طريقًا متفرّعًا: الموقع المسجَّل عند 16:20 بخط ومؤشر مصمتين (وفق مفتاح «قياس/مسار مسجَّل»)، والمناطق التقديرية المحسوبة عند 16:40 بحدود متقطّعة (وفق مفتاح «منطقة/موقع تقديري»). يوضّح ملاحظة صريحة في الرسم أن موقع 16:20 هو آخر نقطة مسجَّلة فقط، ولا يُعرض بوصفه الموقع الحالي المؤكَّد للشخص.</w:t>
      </w:r>
    </w:p>
    <w:p>
      <w:pPr>
        <w:pBdr>
          <w:bottom w:val="single" w:color="0F6E6B" w:sz="6" w:space="4"/>
        </w:pBdr>
        <w:bidi/>
        <w:spacing w:after="200" w:before="300"/>
        <w:jc w:val="right"/>
      </w:pPr>
      <w:r>
        <w:rPr>
          <w:rFonts w:ascii="Arial" w:cs="Arial" w:eastAsia="Arial" w:hAnsi="Arial"/>
          <w:b/>
          <w:bCs/>
          <w:color w:val="101820"/>
          <w:sz w:val="30"/>
          <w:szCs w:val="30"/>
          <w:rtl/>
        </w:rPr>
        <w:t xml:space="preserve">ملاحظة تصميم واحدة</w:t>
      </w:r>
    </w:p>
    <w:p>
      <w:pPr>
        <w:bidi/>
        <w:spacing w:after="130"/>
        <w:jc w:val="right"/>
      </w:pPr>
      <w:r>
        <w:rPr>
          <w:rFonts w:ascii="Arial" w:cs="Arial" w:eastAsia="Arial" w:hAnsi="Arial"/>
          <w:color w:val="5A6472"/>
          <w:sz w:val="21"/>
          <w:szCs w:val="21"/>
          <w:rtl/>
        </w:rPr>
        <w:t xml:space="preserve">آلية «تأكيد السلامة» من المسافر (التي تُلغي تنبيه التأخر الصادر عن المكوّن 107) لم تُفصَّل ضمن نطاق المكونات (101–108) المطلوب وصفه في هذا التصميم. افتراضًا، اعتُبر أنها تصل إلى النظام عبر القناة نفسها المستخدمة لبيانات (101)→(102)، دون إضافة مكوّن جديد يُخفي هذه الفجوة في المواصفة — هذه نفس الملاحظة الظاهرة أسفل الرسم مباشرة.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2026-09-18T04:30:28.885Z</dcterms:created>
  <dcterms:modified xsi:type="dcterms:W3CDTF">2026-09-18T04:30:28.885Z</dcterms:modified>
</cp:coreProperties>
</file>

<file path=docProps/custom.xml><?xml version="1.0" encoding="utf-8"?>
<Properties xmlns="http://schemas.openxmlformats.org/officeDocument/2006/custom-properties" xmlns:vt="http://schemas.openxmlformats.org/officeDocument/2006/docPropsVTypes"/>
</file>