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251" w:rsidRPr="00433557" w:rsidRDefault="00621BFE" w:rsidP="006918B8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Введение</w:t>
      </w:r>
    </w:p>
    <w:p w:rsidR="00114DB4" w:rsidRPr="00433557" w:rsidRDefault="00621BFE" w:rsidP="006918B8">
      <w:pPr>
        <w:pStyle w:val="a3"/>
        <w:spacing w:before="0" w:beforeAutospacing="0" w:after="150" w:afterAutospacing="0" w:line="360" w:lineRule="auto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Объектом </w:t>
      </w:r>
      <w:r w:rsidRPr="00433557">
        <w:rPr>
          <w:color w:val="000000" w:themeColor="text1"/>
          <w:sz w:val="28"/>
          <w:szCs w:val="28"/>
          <w:lang w:val="ru-RU"/>
        </w:rPr>
        <w:t>работы является сайт</w:t>
      </w:r>
      <w:r w:rsidR="00114DB4" w:rsidRPr="00433557">
        <w:rPr>
          <w:color w:val="000000" w:themeColor="text1"/>
          <w:sz w:val="28"/>
          <w:szCs w:val="28"/>
          <w:lang w:val="ru-RU"/>
        </w:rPr>
        <w:t xml:space="preserve"> этнолингвистического словаря</w:t>
      </w:r>
      <w:r w:rsidRPr="00433557">
        <w:rPr>
          <w:color w:val="000000" w:themeColor="text1"/>
          <w:sz w:val="28"/>
          <w:szCs w:val="28"/>
          <w:lang w:val="ru-RU"/>
        </w:rPr>
        <w:t xml:space="preserve"> Традиционный мир псковских крестьян.  </w:t>
      </w:r>
      <w:r w:rsidR="00114DB4" w:rsidRPr="00433557">
        <w:rPr>
          <w:color w:val="000000" w:themeColor="text1"/>
          <w:sz w:val="28"/>
          <w:szCs w:val="28"/>
          <w:lang w:val="ru-RU"/>
        </w:rPr>
        <w:t xml:space="preserve">Первый опыт регионального этнолингвистического словаря отражает традиционный быт сельских жителей </w:t>
      </w:r>
      <w:proofErr w:type="spellStart"/>
      <w:r w:rsidR="00114DB4" w:rsidRPr="00433557">
        <w:rPr>
          <w:color w:val="000000" w:themeColor="text1"/>
          <w:sz w:val="28"/>
          <w:szCs w:val="28"/>
          <w:lang w:val="ru-RU"/>
        </w:rPr>
        <w:t>Псковщины</w:t>
      </w:r>
      <w:proofErr w:type="spellEnd"/>
      <w:r w:rsidR="00114DB4" w:rsidRPr="00433557">
        <w:rPr>
          <w:color w:val="000000" w:themeColor="text1"/>
          <w:sz w:val="28"/>
          <w:szCs w:val="28"/>
          <w:lang w:val="ru-RU"/>
        </w:rPr>
        <w:t>. Словарь создан в научно-исследовательской лаборатории региональных филологических исследований Псковского государственного университета. В лаборатории филологического факультета сосредоточены ценнейшие материалы по диалектной лексике и фольклору, которые являются плодом многолетней экспедиционной работы студентов и преподавателей кафедр русского языка и литературы. Словарь представляет собой оригинальный лексикографический труд, отражающий через диалектное слово этнокультурные реалии Псковской земли.</w:t>
      </w:r>
    </w:p>
    <w:p w:rsidR="00114DB4" w:rsidRPr="00433557" w:rsidRDefault="00114DB4" w:rsidP="006918B8">
      <w:pPr>
        <w:pStyle w:val="a3"/>
        <w:spacing w:before="0" w:beforeAutospacing="0" w:after="150" w:afterAutospacing="0" w:line="360" w:lineRule="auto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Словарь воплощает идею исторической и социокультурной значимости народной речи, в которой, как в зеркале, отражается вся полнота реального существования и мировосприятия человека. Описывая этнографически значимые слова-реалии, словарь является средоточием разнообразной информации о традиционной народной культуре одного региона. Вместе с тем диалектный и фольклорный материал, зафиксированный на территории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Псковщины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>, обладает многими общерусскими чертами, что расширяет территориальные границы этнолингвистического пространства словаря.</w:t>
      </w:r>
    </w:p>
    <w:p w:rsidR="00114DB4" w:rsidRPr="00433557" w:rsidRDefault="00114DB4" w:rsidP="006918B8">
      <w:pPr>
        <w:pStyle w:val="a3"/>
        <w:spacing w:before="0" w:beforeAutospacing="0" w:after="150" w:afterAutospacing="0" w:line="360" w:lineRule="auto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Записи народной речи и фольклора относятся в основном к периоду второй половины ХХ – начала </w:t>
      </w:r>
      <w:r w:rsidRPr="00433557">
        <w:rPr>
          <w:color w:val="000000" w:themeColor="text1"/>
          <w:sz w:val="28"/>
          <w:szCs w:val="28"/>
        </w:rPr>
        <w:t>XXI</w:t>
      </w:r>
      <w:r w:rsidRPr="00433557">
        <w:rPr>
          <w:color w:val="000000" w:themeColor="text1"/>
          <w:sz w:val="28"/>
          <w:szCs w:val="28"/>
          <w:lang w:val="ru-RU"/>
        </w:rPr>
        <w:t xml:space="preserve"> вв. Однако, воспроизводя воспоминания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диалектоносителей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 о недавнем и отдаленном прошлом, отражая многочисленные ссылки на то, как жили их предки, материалы словаря тем самым охватывают довоенный, а отчасти и дореволюционный период. Таким образом, значительно углубляется временной диапазон представленных </w:t>
      </w:r>
      <w:r w:rsidRPr="00433557">
        <w:rPr>
          <w:color w:val="000000" w:themeColor="text1"/>
          <w:sz w:val="28"/>
          <w:szCs w:val="28"/>
          <w:lang w:val="ru-RU"/>
        </w:rPr>
        <w:lastRenderedPageBreak/>
        <w:t>материалов, что создает необходимую для этнолингвистического словаря степень историзма.</w:t>
      </w:r>
    </w:p>
    <w:p w:rsidR="00114DB4" w:rsidRPr="00433557" w:rsidRDefault="00114DB4" w:rsidP="006918B8">
      <w:pPr>
        <w:pStyle w:val="a3"/>
        <w:spacing w:before="0" w:beforeAutospacing="0" w:after="150" w:afterAutospacing="0" w:line="360" w:lineRule="auto"/>
        <w:ind w:firstLine="240"/>
        <w:jc w:val="both"/>
        <w:rPr>
          <w:bCs/>
          <w:color w:val="000000" w:themeColor="text1"/>
          <w:sz w:val="28"/>
          <w:szCs w:val="28"/>
          <w:lang w:val="ru-RU"/>
        </w:rPr>
      </w:pPr>
      <w:r w:rsidRPr="00433557">
        <w:rPr>
          <w:b/>
          <w:bCs/>
          <w:color w:val="000000" w:themeColor="text1"/>
          <w:sz w:val="28"/>
          <w:szCs w:val="28"/>
          <w:lang w:val="ru-RU"/>
        </w:rPr>
        <w:t>Целью</w:t>
      </w:r>
      <w:r w:rsidRPr="00433557">
        <w:rPr>
          <w:bCs/>
          <w:color w:val="000000" w:themeColor="text1"/>
          <w:sz w:val="28"/>
          <w:szCs w:val="28"/>
          <w:lang w:val="ru-RU"/>
        </w:rPr>
        <w:t xml:space="preserve"> настоящей работы является модернизация данного сайта.</w:t>
      </w:r>
    </w:p>
    <w:p w:rsidR="006918B8" w:rsidRPr="00433557" w:rsidRDefault="006918B8" w:rsidP="006918B8">
      <w:pPr>
        <w:tabs>
          <w:tab w:val="left" w:pos="708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Данная цель обусловлена положением о том, что одним</w:t>
      </w:r>
      <w:r w:rsidRPr="0043355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  <w:t xml:space="preserve"> из важных преимуществ электронного ресурса является возможность его постоянного обновления и совершенствования.</w:t>
      </w:r>
    </w:p>
    <w:p w:rsidR="006918B8" w:rsidRPr="00433557" w:rsidRDefault="006918B8" w:rsidP="006918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Что составляет основу модернизации сайта и для чего нужна модернизация?</w:t>
      </w:r>
    </w:p>
    <w:p w:rsidR="006918B8" w:rsidRPr="00433557" w:rsidRDefault="006918B8" w:rsidP="006918B8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«Интернет-сайт, как и любой набор инструментов, имеет свойство устаревать. С течением времени требуются структурные изменения в любом механизме. Со временем также требуется определенная доработка сайта, которая реализуется в следующих аспектах: </w:t>
      </w:r>
    </w:p>
    <w:p w:rsidR="006918B8" w:rsidRPr="00433557" w:rsidRDefault="006918B8" w:rsidP="006918B8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Редизайн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сайта.</w:t>
      </w:r>
    </w:p>
    <w:p w:rsidR="006918B8" w:rsidRPr="00433557" w:rsidRDefault="006918B8" w:rsidP="006918B8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Изменения структуры сайта.</w:t>
      </w:r>
    </w:p>
    <w:p w:rsidR="006918B8" w:rsidRPr="00433557" w:rsidRDefault="006918B8" w:rsidP="006918B8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Оптимизация навигации по сайту.</w:t>
      </w:r>
    </w:p>
    <w:p w:rsidR="006918B8" w:rsidRPr="00433557" w:rsidRDefault="006918B8" w:rsidP="006918B8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Изменения набора функций сайта. </w:t>
      </w:r>
    </w:p>
    <w:p w:rsidR="006918B8" w:rsidRPr="00433557" w:rsidRDefault="006918B8" w:rsidP="006918B8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Изменение структуры страниц.</w:t>
      </w:r>
    </w:p>
    <w:p w:rsidR="006918B8" w:rsidRPr="00433557" w:rsidRDefault="006918B8" w:rsidP="006918B8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Добавление новых служб и сервисов.</w:t>
      </w:r>
    </w:p>
    <w:p w:rsidR="006918B8" w:rsidRPr="00433557" w:rsidRDefault="006918B8" w:rsidP="006918B8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6918B8" w:rsidRPr="00433557" w:rsidRDefault="006918B8" w:rsidP="006918B8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Существует несколько основных причин, по которым следует прибегнуть к модернизации сайта</w:t>
      </w:r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.» [</w:t>
      </w:r>
      <w:proofErr w:type="gram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3]</w:t>
      </w:r>
    </w:p>
    <w:p w:rsidR="006918B8" w:rsidRPr="00433557" w:rsidRDefault="006918B8" w:rsidP="006918B8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spellStart"/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Так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существующее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понятие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интернет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-«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моды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» диктует свои правила визуального представления, и устаревший дизайн не лучшим образом сказывается на привлечении посетителей, особенно молодого поколения.</w:t>
      </w:r>
      <w:proofErr w:type="gram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:rsidR="006918B8" w:rsidRPr="00433557" w:rsidRDefault="006918B8" w:rsidP="006918B8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Другая причина – техническая.</w:t>
      </w:r>
      <w:proofErr w:type="gram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 процессе эксплуатации сайта изменяются требования к функционалу, который был настроен на 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решение определенных задач и предоставление конкретных возможностей.</w:t>
      </w:r>
      <w:proofErr w:type="gram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Кроме того, появляются новые, более удобные системы управления сайтами.</w:t>
      </w:r>
      <w:proofErr w:type="gram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Расширяются технические возможности Интернета. К тому же, просуществовавший какое-то время сайт, зачастую превращается в хранилище самой разнообразной информации во многих случаях мешающей как посетителям, так и работе поисковых машин.</w:t>
      </w:r>
      <w:proofErr w:type="gram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 </w:t>
      </w:r>
    </w:p>
    <w:p w:rsidR="006918B8" w:rsidRPr="00433557" w:rsidRDefault="006918B8" w:rsidP="006918B8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И, наконец, третья причина связана с технологическими возможностями сайта и его администрированием.</w:t>
      </w:r>
      <w:proofErr w:type="gram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 каждым днем растет количество владельцев сайтов, для которых имеют значение возможности управления сайтом.</w:t>
      </w:r>
      <w:proofErr w:type="gram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Требования к квалификации редактора сайта, простота обслуживания системы, ограничения по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хостинговым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площадкам и многое другое складываются в стоимость владения сайтом.</w:t>
      </w:r>
      <w:proofErr w:type="gram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gram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Перевод сайта на высококачественную систему управления позволяет снизить постоянные расходы на его редактирование и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последующие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модернизации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сайта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proofErr w:type="gramEnd"/>
    </w:p>
    <w:p w:rsidR="00B15459" w:rsidRDefault="00B15459" w:rsidP="00B1545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Соответственно сформулированной цели в работе определены следующие </w:t>
      </w:r>
      <w:r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задачи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</w:p>
    <w:p w:rsidR="00CC6F3E" w:rsidRPr="00433557" w:rsidRDefault="00CC6F3E" w:rsidP="00CC6F3E">
      <w:pPr>
        <w:pStyle w:val="a4"/>
        <w:numPr>
          <w:ilvl w:val="0"/>
          <w:numId w:val="2"/>
        </w:numPr>
        <w:shd w:val="clear" w:color="auto" w:fill="FFFFFF"/>
        <w:tabs>
          <w:tab w:val="left" w:pos="270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Комплексное описание этнолингвистического словаря </w:t>
      </w:r>
      <w:r w:rsidRPr="0043355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Традиционный мир псковских крестьян.</w:t>
      </w:r>
    </w:p>
    <w:p w:rsidR="00CC6F3E" w:rsidRPr="00433557" w:rsidRDefault="00CC6F3E" w:rsidP="00CC6F3E">
      <w:pPr>
        <w:pStyle w:val="a4"/>
        <w:numPr>
          <w:ilvl w:val="3"/>
          <w:numId w:val="2"/>
        </w:numPr>
        <w:shd w:val="clear" w:color="auto" w:fill="FFFFFF"/>
        <w:tabs>
          <w:tab w:val="left" w:pos="270"/>
          <w:tab w:val="left" w:pos="990"/>
        </w:tabs>
        <w:spacing w:after="0" w:line="360" w:lineRule="auto"/>
        <w:ind w:left="99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Дать общее сведения о словаре</w:t>
      </w:r>
    </w:p>
    <w:p w:rsidR="00CC6F3E" w:rsidRPr="000E2031" w:rsidRDefault="00CC6F3E" w:rsidP="000E2031">
      <w:pPr>
        <w:pStyle w:val="a4"/>
        <w:numPr>
          <w:ilvl w:val="3"/>
          <w:numId w:val="2"/>
        </w:numPr>
        <w:shd w:val="clear" w:color="auto" w:fill="FFFFFF"/>
        <w:spacing w:after="0" w:line="360" w:lineRule="auto"/>
        <w:ind w:left="99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0E2031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Рассмотреть составь словаря</w:t>
      </w:r>
    </w:p>
    <w:p w:rsidR="00CC6F3E" w:rsidRPr="00433557" w:rsidRDefault="00CC6F3E" w:rsidP="00B15459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B15459" w:rsidRPr="00433557" w:rsidRDefault="00B15459" w:rsidP="00B15459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Комплекс задач, связанных с об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еспечением нового дизайна сайта, который дает возможность</w:t>
      </w:r>
      <w:r w:rsidR="001A3084"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пользователю легко и быстро получить ту или иную  информацию 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на сайте.</w:t>
      </w:r>
    </w:p>
    <w:p w:rsidR="004035AF" w:rsidRPr="00433557" w:rsidRDefault="001A3084" w:rsidP="00E37DE5">
      <w:pPr>
        <w:pStyle w:val="a4"/>
        <w:numPr>
          <w:ilvl w:val="3"/>
          <w:numId w:val="2"/>
        </w:numPr>
        <w:shd w:val="clear" w:color="auto" w:fill="FFFFFF"/>
        <w:spacing w:after="0" w:line="360" w:lineRule="auto"/>
        <w:ind w:left="1080"/>
        <w:jc w:val="both"/>
        <w:rPr>
          <w:rStyle w:val="a5"/>
          <w:rFonts w:ascii="Times New Roman" w:eastAsia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 xml:space="preserve">Обеспечить </w:t>
      </w:r>
      <w:r w:rsidR="004035AF" w:rsidRPr="0043355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легкое</w:t>
      </w:r>
      <w:r w:rsidRPr="0043355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восприятия</w:t>
      </w:r>
      <w:r w:rsidR="004035AF" w:rsidRPr="0043355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 информации для пользователя на сайте, использую подход минимализма в разработке нового дизайна сайта.</w:t>
      </w:r>
    </w:p>
    <w:p w:rsidR="001A3084" w:rsidRPr="00433557" w:rsidRDefault="004035AF" w:rsidP="00E37DE5">
      <w:pPr>
        <w:pStyle w:val="a4"/>
        <w:numPr>
          <w:ilvl w:val="3"/>
          <w:numId w:val="2"/>
        </w:numPr>
        <w:shd w:val="clear" w:color="auto" w:fill="FFFFFF"/>
        <w:spacing w:after="0" w:line="360" w:lineRule="auto"/>
        <w:ind w:left="1080"/>
        <w:jc w:val="both"/>
        <w:rPr>
          <w:rStyle w:val="a5"/>
          <w:rFonts w:ascii="Times New Roman" w:eastAsia="Times New Roman" w:hAnsi="Times New Roman" w:cs="Times New Roman"/>
          <w:bCs/>
          <w:i w:val="0"/>
          <w:iCs w:val="0"/>
          <w:color w:val="000000" w:themeColor="text1"/>
          <w:sz w:val="28"/>
          <w:szCs w:val="28"/>
        </w:rPr>
      </w:pPr>
      <w:r w:rsidRPr="0043355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Обеспечить корректную цветовую палитру и де</w:t>
      </w:r>
      <w:r w:rsidR="006C22E2" w:rsidRPr="0043355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 xml:space="preserve">коративную графику, которая соответствует </w:t>
      </w:r>
      <w:r w:rsidRPr="0043355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тематике сайта</w:t>
      </w:r>
      <w:r w:rsidR="006C22E2" w:rsidRPr="00433557">
        <w:rPr>
          <w:rStyle w:val="a5"/>
          <w:rFonts w:ascii="Times New Roman" w:hAnsi="Times New Roman"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.</w:t>
      </w:r>
    </w:p>
    <w:p w:rsidR="006C22E2" w:rsidRPr="00433557" w:rsidRDefault="006C22E2" w:rsidP="00E37DE5">
      <w:pPr>
        <w:pStyle w:val="a4"/>
        <w:numPr>
          <w:ilvl w:val="3"/>
          <w:numId w:val="2"/>
        </w:numPr>
        <w:shd w:val="clear" w:color="auto" w:fill="FFFFFF"/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Обеспечить удобную компоновку блоков и элементов сайта для обеспечения легкой и удобной навигации по сайту.</w:t>
      </w:r>
    </w:p>
    <w:p w:rsidR="00E37DE5" w:rsidRPr="00433557" w:rsidRDefault="00E37DE5" w:rsidP="00E37DE5">
      <w:pPr>
        <w:pStyle w:val="a4"/>
        <w:numPr>
          <w:ilvl w:val="0"/>
          <w:numId w:val="2"/>
        </w:numPr>
        <w:shd w:val="clear" w:color="auto" w:fill="FFFFFF"/>
        <w:spacing w:after="0" w:line="360" w:lineRule="auto"/>
        <w:ind w:left="720" w:hanging="54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Комплекс задач, направленных на изучение и применение современных 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программных обеспечений и 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информационных технологий.</w:t>
      </w:r>
    </w:p>
    <w:p w:rsidR="00BE33A5" w:rsidRPr="00433557" w:rsidRDefault="00BE33A5" w:rsidP="00BE33A5">
      <w:pPr>
        <w:pStyle w:val="a4"/>
        <w:numPr>
          <w:ilvl w:val="0"/>
          <w:numId w:val="3"/>
        </w:numPr>
        <w:shd w:val="clear" w:color="auto" w:fill="FFFFFF"/>
        <w:tabs>
          <w:tab w:val="left" w:pos="27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В разработке нового дизайна сайта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,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использую программное обеспечение 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Photoshop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B15459" w:rsidRPr="00433557" w:rsidRDefault="00BE33A5" w:rsidP="00E275D8">
      <w:pPr>
        <w:pStyle w:val="a4"/>
        <w:numPr>
          <w:ilvl w:val="0"/>
          <w:numId w:val="3"/>
        </w:numPr>
        <w:shd w:val="clear" w:color="auto" w:fill="FFFFFF"/>
        <w:tabs>
          <w:tab w:val="left" w:pos="270"/>
        </w:tabs>
        <w:spacing w:after="0" w:line="360" w:lineRule="auto"/>
        <w:ind w:left="108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В создании сайта использование языков программирования, библиотек и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фреймворков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  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HTML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5, 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CSS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3,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Javascript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Bootstrap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 xml:space="preserve">, 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Vue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en-US"/>
        </w:rPr>
        <w:t>js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.</w:t>
      </w:r>
    </w:p>
    <w:p w:rsidR="006918B8" w:rsidRPr="00433557" w:rsidRDefault="006918B8" w:rsidP="006918B8">
      <w:pPr>
        <w:shd w:val="clear" w:color="auto" w:fill="FFFFFF"/>
        <w:spacing w:after="0" w:line="360" w:lineRule="auto"/>
        <w:ind w:left="360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Выпускная квалификационная </w:t>
      </w:r>
      <w:r w:rsidR="00CC6F3E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работа состоит из введения, трех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 xml:space="preserve"> глав, заключения, списка использованной литературы и источников. Результаты реализации практических задач отраж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ены на сайте «Традиционный мир псковских крестьян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» (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http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://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nocpskoviana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pskgu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ru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/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index</w:t>
      </w:r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.</w:t>
      </w:r>
      <w:proofErr w:type="spellStart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t>php</w:t>
      </w:r>
      <w:proofErr w:type="spellEnd"/>
      <w:r w:rsidRPr="00433557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  <w:t>).</w:t>
      </w:r>
    </w:p>
    <w:p w:rsidR="006918B8" w:rsidRPr="00433557" w:rsidRDefault="006918B8" w:rsidP="006918B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val="ru-RU"/>
        </w:rPr>
      </w:pPr>
    </w:p>
    <w:p w:rsidR="00114DB4" w:rsidRPr="00433557" w:rsidRDefault="00114DB4" w:rsidP="006918B8">
      <w:pPr>
        <w:pStyle w:val="a3"/>
        <w:spacing w:before="0" w:beforeAutospacing="0" w:after="150" w:afterAutospacing="0" w:line="360" w:lineRule="auto"/>
        <w:ind w:firstLine="240"/>
        <w:jc w:val="both"/>
        <w:rPr>
          <w:color w:val="000000" w:themeColor="text1"/>
          <w:sz w:val="28"/>
          <w:szCs w:val="28"/>
          <w:lang w:val="ru-RU"/>
        </w:rPr>
      </w:pPr>
    </w:p>
    <w:p w:rsidR="00621BFE" w:rsidRPr="00433557" w:rsidRDefault="00713AF4" w:rsidP="005B3106">
      <w:pPr>
        <w:spacing w:line="36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Глава 1. </w:t>
      </w:r>
      <w:r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Э</w:t>
      </w:r>
      <w:r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тноли</w:t>
      </w:r>
      <w:r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нгвистический словарь</w:t>
      </w:r>
      <w:r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</w:t>
      </w:r>
      <w:r w:rsidR="005B3106"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“</w:t>
      </w:r>
      <w:r w:rsidRPr="0043355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Традиционный мир псковских крестьян</w:t>
      </w:r>
      <w:r w:rsidR="005B3106" w:rsidRPr="0043355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”</w:t>
      </w:r>
    </w:p>
    <w:p w:rsidR="005B3106" w:rsidRPr="00433557" w:rsidRDefault="00713AF4" w:rsidP="005B310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1.1 </w:t>
      </w:r>
      <w:r w:rsidR="005B3106" w:rsidRPr="0043355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Общее сведения </w:t>
      </w:r>
      <w:proofErr w:type="gramStart"/>
      <w:r w:rsidR="005B3106" w:rsidRPr="0043355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о</w:t>
      </w:r>
      <w:proofErr w:type="gramEnd"/>
      <w:r w:rsidR="005B3106" w:rsidRPr="0043355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 xml:space="preserve"> </w:t>
      </w:r>
      <w:r w:rsidR="005B3106"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э</w:t>
      </w:r>
      <w:r w:rsidR="005B3106"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тнолингвист</w:t>
      </w:r>
      <w:r w:rsidR="005B3106"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ическом словаре</w:t>
      </w:r>
      <w:r w:rsidR="005B3106"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 xml:space="preserve"> “</w:t>
      </w:r>
      <w:r w:rsidR="005B3106" w:rsidRPr="0043355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Традиционный мир псковских крестьян”</w:t>
      </w:r>
    </w:p>
    <w:p w:rsidR="005B3106" w:rsidRPr="00433557" w:rsidRDefault="005B3106" w:rsidP="005B310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Первый опыт регионального этнолингвистического словаря отражает традиционный быт сельских жителей </w:t>
      </w:r>
      <w:proofErr w:type="spellStart"/>
      <w:r w:rsidRPr="004335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Псковщины</w:t>
      </w:r>
      <w:proofErr w:type="spellEnd"/>
      <w:r w:rsidRPr="004335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. Словарь создан в научно-</w:t>
      </w:r>
      <w:r w:rsidRPr="004335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lastRenderedPageBreak/>
        <w:t>исследовательской лаборатории региональных филологических исследований Псковского государственного университета. В лаборатории филологического факультета сосредоточены ценнейшие материалы по диалектной лексике и фольклору, которые являются плодом многолетней экспедиционной работы студентов и преподавателей кафедр русского языка и литературы. Словарь представляет собой оригинальный лексикографический труд, отражающий через диалектное слово этнокультурные реалии Псковской земли.</w:t>
      </w:r>
    </w:p>
    <w:p w:rsidR="005B3106" w:rsidRPr="00433557" w:rsidRDefault="005B3106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Основными источниками словаря являются: картотека Псковского областного словаря (та ее часть, которая находится в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ПсковГУ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); псковский диалектный и фольклорно-этнографический архив (рукописный фонд и фонотека). </w:t>
      </w:r>
      <w:proofErr w:type="gramStart"/>
      <w:r w:rsidRPr="00433557">
        <w:rPr>
          <w:color w:val="000000" w:themeColor="text1"/>
          <w:sz w:val="28"/>
          <w:szCs w:val="28"/>
          <w:lang w:val="ru-RU"/>
        </w:rPr>
        <w:t>К числу источников относятся также опубликованные выпуски Псковского областного словаря с историческими данными (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Вып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>. 1-21.</w:t>
      </w:r>
      <w:proofErr w:type="gramEnd"/>
      <w:r w:rsidRPr="00433557">
        <w:rPr>
          <w:color w:val="000000" w:themeColor="text1"/>
          <w:sz w:val="28"/>
          <w:szCs w:val="28"/>
          <w:lang w:val="ru-RU"/>
        </w:rPr>
        <w:t xml:space="preserve"> – </w:t>
      </w:r>
      <w:proofErr w:type="gramStart"/>
      <w:r w:rsidRPr="00433557">
        <w:rPr>
          <w:color w:val="000000" w:themeColor="text1"/>
          <w:sz w:val="28"/>
          <w:szCs w:val="28"/>
          <w:lang w:val="ru-RU"/>
        </w:rPr>
        <w:t>Л. (СПб.), 1967-2009).</w:t>
      </w:r>
      <w:proofErr w:type="gramEnd"/>
    </w:p>
    <w:p w:rsidR="005B3106" w:rsidRPr="00433557" w:rsidRDefault="005B3106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Словарь воплощает идею исторической и социокультурной значимости народной речи, в которой, как в зеркале, отражается вся полнота реального существования и мировосприятия человека. Описывая этнографически значимые слова-реалии, словарь является средоточием разнообразной информации о традиционной народной культуре одного региона. Вместе с тем диалектный и фольклорный материал, зафиксированный на территории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Псковщины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>, обладает многими общерусскими чертами, что расширяет территориальные границы этнолингвистического пространства словаря.</w:t>
      </w:r>
    </w:p>
    <w:p w:rsidR="005B3106" w:rsidRPr="00433557" w:rsidRDefault="005B3106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Записи народной речи и фольклора относятся в основном к периоду второй половины ХХ – начала </w:t>
      </w:r>
      <w:r w:rsidRPr="00433557">
        <w:rPr>
          <w:color w:val="000000" w:themeColor="text1"/>
          <w:sz w:val="28"/>
          <w:szCs w:val="28"/>
        </w:rPr>
        <w:t>XXI</w:t>
      </w:r>
      <w:r w:rsidRPr="00433557">
        <w:rPr>
          <w:color w:val="000000" w:themeColor="text1"/>
          <w:sz w:val="28"/>
          <w:szCs w:val="28"/>
          <w:lang w:val="ru-RU"/>
        </w:rPr>
        <w:t xml:space="preserve"> вв. Однако, воспроизводя воспоминания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диалектоносителей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 о недавнем и отдаленном прошлом, отражая многочисленные ссылки на то, как жили их предки, материалы словаря тем самым охватывают довоенный, а отчасти и дореволюционный период. Таким образом, значительно углубляется временной диапазон представленных материалов, что создает необходимую для этнолингвистического словаря степень историзма.</w:t>
      </w:r>
    </w:p>
    <w:p w:rsidR="005B3106" w:rsidRPr="00433557" w:rsidRDefault="005B3106" w:rsidP="006918B8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p w:rsidR="005B3106" w:rsidRPr="00433557" w:rsidRDefault="00713AF4" w:rsidP="005B3106">
      <w:pPr>
        <w:spacing w:line="360" w:lineRule="auto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eastAsia="Times New Roman" w:hAnsi="Times New Roman" w:cs="Times New Roman"/>
          <w:b/>
          <w:i/>
          <w:color w:val="000000" w:themeColor="text1"/>
          <w:sz w:val="28"/>
          <w:szCs w:val="28"/>
          <w:lang w:val="ru-RU"/>
        </w:rPr>
        <w:lastRenderedPageBreak/>
        <w:t xml:space="preserve">1.2 Состав </w:t>
      </w:r>
      <w:r w:rsidRPr="00433557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ru-RU"/>
        </w:rPr>
        <w:t>э</w:t>
      </w:r>
      <w:r w:rsidRPr="00433557">
        <w:rPr>
          <w:rFonts w:ascii="Times New Roman" w:eastAsia="Times New Roman" w:hAnsi="Times New Roman" w:cs="Times New Roman"/>
          <w:b/>
          <w:bCs/>
          <w:i/>
          <w:color w:val="000000" w:themeColor="text1"/>
          <w:sz w:val="28"/>
          <w:szCs w:val="28"/>
          <w:lang w:val="ru-RU"/>
        </w:rPr>
        <w:t xml:space="preserve">тнолингвистический словарь </w:t>
      </w:r>
      <w:r w:rsidR="005B3106" w:rsidRPr="0043355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ru-RU"/>
        </w:rPr>
        <w:t>“</w:t>
      </w:r>
      <w:r w:rsidR="005B3106" w:rsidRPr="00433557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RU"/>
        </w:rPr>
        <w:t>Традиционный мир псковских крестьян”</w:t>
      </w:r>
    </w:p>
    <w:p w:rsidR="005B3106" w:rsidRPr="00433557" w:rsidRDefault="005B3106" w:rsidP="005B3106">
      <w:pPr>
        <w:spacing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Объектом словаря являются </w:t>
      </w:r>
      <w:proofErr w:type="spellStart"/>
      <w:r w:rsidRPr="004335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433557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– комплексные единицы, отражающие понятия и реалии, характерные для традиционной русской, в том числе и псковской, деревни.</w:t>
      </w:r>
    </w:p>
    <w:p w:rsidR="005B3106" w:rsidRPr="00433557" w:rsidRDefault="005B3106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Если внимание этнографии сосредоточено на предметах мира человека, принадлежащего к определенному этносу или его части, то задачей лингвистики является описание наименований, отражающих мир реалий.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Этнолингвистика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 как смежная и комплексная наука пытается синтезировать эти объекты.</w:t>
      </w:r>
    </w:p>
    <w:p w:rsidR="005B3106" w:rsidRPr="00433557" w:rsidRDefault="005B3106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Определив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этнографизм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 как категорию синкретичную, при работе над словарем необходимо было установить круг понятий, </w:t>
      </w:r>
      <w:proofErr w:type="gramStart"/>
      <w:r w:rsidRPr="00433557">
        <w:rPr>
          <w:color w:val="000000" w:themeColor="text1"/>
          <w:sz w:val="28"/>
          <w:szCs w:val="28"/>
          <w:lang w:val="ru-RU"/>
        </w:rPr>
        <w:t>а</w:t>
      </w:r>
      <w:proofErr w:type="gramEnd"/>
      <w:r w:rsidRPr="00433557">
        <w:rPr>
          <w:color w:val="000000" w:themeColor="text1"/>
          <w:sz w:val="28"/>
          <w:szCs w:val="28"/>
          <w:lang w:val="ru-RU"/>
        </w:rPr>
        <w:t xml:space="preserve"> следовательно и их наименований, которые могут соответствовать понятию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этнографизма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, т.к. содержание самого этого понятия не является однородным. Принято выделять две разновидности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этнографизмов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 – общерусские и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локальнорусские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. Общенациональные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 обозначают предметы и явления русской жизни и русского быта, характерные для всего русского народа, воспринимаемые как типично русские явления, не свойственные другим народам. При определении специфики этого вида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этнографизмов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 русский язык противопоставляется другим национальным языкам. Примерами таких этнографических лексем являются изба, лапти, сарафан и </w:t>
      </w:r>
      <w:proofErr w:type="gramStart"/>
      <w:r w:rsidRPr="00433557">
        <w:rPr>
          <w:color w:val="000000" w:themeColor="text1"/>
          <w:sz w:val="28"/>
          <w:szCs w:val="28"/>
          <w:lang w:val="ru-RU"/>
        </w:rPr>
        <w:t>под</w:t>
      </w:r>
      <w:proofErr w:type="gramEnd"/>
      <w:r w:rsidRPr="00433557">
        <w:rPr>
          <w:color w:val="000000" w:themeColor="text1"/>
          <w:sz w:val="28"/>
          <w:szCs w:val="28"/>
          <w:lang w:val="ru-RU"/>
        </w:rPr>
        <w:t xml:space="preserve">.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Локальнорусские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, или собственно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, </w:t>
      </w:r>
      <w:proofErr w:type="gramStart"/>
      <w:r w:rsidRPr="00433557">
        <w:rPr>
          <w:color w:val="000000" w:themeColor="text1"/>
          <w:sz w:val="28"/>
          <w:szCs w:val="28"/>
          <w:lang w:val="ru-RU"/>
        </w:rPr>
        <w:t>представлены</w:t>
      </w:r>
      <w:proofErr w:type="gramEnd"/>
      <w:r w:rsidRPr="00433557">
        <w:rPr>
          <w:color w:val="000000" w:themeColor="text1"/>
          <w:sz w:val="28"/>
          <w:szCs w:val="28"/>
          <w:lang w:val="ru-RU"/>
        </w:rPr>
        <w:t xml:space="preserve"> диалектными наименованиями и принадлежат диалектной языковой системе. Таких единиц большинство как в языке в целом, так и в материалах настоящего словаря: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восьмикепина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ершевица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,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крутцовики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>, пуня и др.</w:t>
      </w:r>
    </w:p>
    <w:p w:rsidR="005B3106" w:rsidRPr="00433557" w:rsidRDefault="005B3106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 w:rsidRPr="00433557">
        <w:rPr>
          <w:color w:val="000000" w:themeColor="text1"/>
          <w:sz w:val="28"/>
          <w:szCs w:val="28"/>
          <w:lang w:val="ru-RU"/>
        </w:rPr>
        <w:t xml:space="preserve">В словаре получили описание около 650 единиц, среди них представлены как общерусские, так и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локальнорусские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, что позволяет раскрыть этнолингвистическую специфику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Псковщины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 в общенациональном контексте.</w:t>
      </w:r>
      <w:proofErr w:type="gramEnd"/>
    </w:p>
    <w:p w:rsidR="005B3106" w:rsidRPr="00433557" w:rsidRDefault="005B3106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Словник сформирован по тематическим группам с алфавитным принципом расположения заголовков словарных статей внутри каждой группы. Корпус первого опыта псковского этнолингвистического словаря составляют слова-объекты главным образом материальной культуры. Тематические группы, получившие описание в словаре, связаны с вещным миром псковского крестьянина: «Постройки. Традиционное жилище», «Прядение. Ткачество. </w:t>
      </w:r>
      <w:r w:rsidRPr="00433557">
        <w:rPr>
          <w:color w:val="000000" w:themeColor="text1"/>
          <w:sz w:val="28"/>
          <w:szCs w:val="28"/>
          <w:lang w:val="ru-RU"/>
        </w:rPr>
        <w:lastRenderedPageBreak/>
        <w:t>Домотканое полотно», «Традиционная одежда, обувь», «Традиционная пища». Черты духовной культуры находят имплицитное отражение в привлечении данных местного фольклора.</w:t>
      </w:r>
    </w:p>
    <w:p w:rsidR="005B3106" w:rsidRPr="00433557" w:rsidRDefault="005B3106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  <w:r w:rsidRPr="00433557">
        <w:rPr>
          <w:color w:val="000000" w:themeColor="text1"/>
          <w:sz w:val="28"/>
          <w:szCs w:val="28"/>
          <w:lang w:val="ru-RU"/>
        </w:rPr>
        <w:t xml:space="preserve">При обращении к этнолингвистическому материалу авторы понимают, что привлекаемые наименования (слова или номинативные словосочетания) обозначают понятия, явления и реалии, часто связанные со старым бытом, ушедшим традиционным укладом жизни.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Этнографизмы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>, таким образом, могут носить архаический характер. Даже наблюдаемый в последние годы в деревне возврат к элементам натурального хозяйства не связан, как правило, с восстановлением традиционных форм хозяйствования, уклада жизни в целом. Вместе с тем, следует подчеркнуть, что уход, утрата реалий традиционного быта не означает такого же стремительного исчезновения лексики, т.к. процесс устаревания слова более длительный. В связи с этим жизнь слова в памяти людей оказывается намного дольше бытования самой реалии. В то же время материалы словаря показывают и видоизменение смысла слова-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этнографизма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>, трансформацию области его применения.</w:t>
      </w:r>
    </w:p>
    <w:p w:rsidR="005B3106" w:rsidRPr="00433557" w:rsidRDefault="005B3106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  <w:proofErr w:type="gramStart"/>
      <w:r w:rsidRPr="00433557">
        <w:rPr>
          <w:color w:val="000000" w:themeColor="text1"/>
          <w:sz w:val="28"/>
          <w:szCs w:val="28"/>
          <w:lang w:val="ru-RU"/>
        </w:rPr>
        <w:t xml:space="preserve">Публикуя первый опыт регионального этнолингвистического словаря, авторы продолжают работу над этой темой: уже выделены другие тематические группы, относящиеся к традиционным ремеслам (например, плетению из природных материалов) и связанные с ними наименования хозяйственной утвари и корзин; выявлен состав традиционных групповых микроэтнонимов, как хорошо известных на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Псковщине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 xml:space="preserve">, так и малознакомых (например, </w:t>
      </w:r>
      <w:proofErr w:type="spellStart"/>
      <w:r w:rsidRPr="00433557">
        <w:rPr>
          <w:color w:val="000000" w:themeColor="text1"/>
          <w:sz w:val="28"/>
          <w:szCs w:val="28"/>
          <w:lang w:val="ru-RU"/>
        </w:rPr>
        <w:t>ершееды</w:t>
      </w:r>
      <w:proofErr w:type="spellEnd"/>
      <w:r w:rsidRPr="00433557">
        <w:rPr>
          <w:color w:val="000000" w:themeColor="text1"/>
          <w:sz w:val="28"/>
          <w:szCs w:val="28"/>
          <w:lang w:val="ru-RU"/>
        </w:rPr>
        <w:t>, поляки, скобари и др.);</w:t>
      </w:r>
      <w:proofErr w:type="gramEnd"/>
      <w:r w:rsidRPr="00433557">
        <w:rPr>
          <w:color w:val="000000" w:themeColor="text1"/>
          <w:sz w:val="28"/>
          <w:szCs w:val="28"/>
          <w:lang w:val="ru-RU"/>
        </w:rPr>
        <w:t xml:space="preserve"> предполагается расширить словник уже выделенных тематических групп, а также усилить материалы, представляющие традиционную духовную культуру псковичей.</w:t>
      </w:r>
    </w:p>
    <w:p w:rsidR="00433557" w:rsidRPr="00433557" w:rsidRDefault="00433557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</w:p>
    <w:p w:rsidR="00433557" w:rsidRPr="00433557" w:rsidRDefault="00433557" w:rsidP="00433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Изучение традиционной народной культуры с научными или познавательными целями в настоящее время может осуществляться путем использования различных каналов и разнообразных ресурсов. В научно-образовательной лаборатории региональных филологических исследований Псковского государственного университета реализуется программа публикации архивных диалектных и фольклорно-этнографических материалов в традиционном печатном формате (статьи, монографии, словари) и путем применения электронных технологий. Нередко эти два типа публикаций осуществляются параллельно, поддерживая друг друга. Все издания адресованы как специалистам в области гуманитарных наук, краеведам, так и широкому кругу лиц, интересующихся традиционной национальной культурой и языком. </w:t>
      </w:r>
    </w:p>
    <w:p w:rsidR="00433557" w:rsidRPr="00433557" w:rsidRDefault="00433557" w:rsidP="0043355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Подготовленный и изданный в Пскове региональный этнолингвистический словарь отражает традиционный быт сельских жителей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Псковщины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[Традиционный быт… 2012]. В словаре получили описание около 650 единиц, среди которых </w:t>
      </w:r>
      <w:proofErr w:type="gram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представлены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как общерусские, так и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локальнорусские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этнографизмы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что позволяет раскрыть этнолингвистическую специфику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Псковщины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в общенациональном контексте. Основными источниками словаря являются: картотека «Псковского областного словаря с историческими данными» (та ее часть, которая находится в Псковском государственном университете), псковский диалектный и фольклорно-этнографический архив; к числу источников относятся также опубликованные выпуски «Псковского областного словаря».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Словник сформирован по идеографическому принципу с алфавитным расположением заголовков словарных статей внутри каждой из четырех разработанных на сегодняшний день тематических групп, являющихся базовыми для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лингво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-этнографического описания региона: «Постройки. Традиционное жилище», «Прядение. Ткачество. Домотканое полотно», «Традиционная одежда, обувь», «Традиционная пища». Таким образом, корпус псковского этнолингвистического словаря составляют репрезентанты преимущественно материальной культуры, связанные с вещным миром псковского крестьянина. Черты духовной культуры находят имплицитное отражение в привлечении данных местного фольклора.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Особенности жанра этнолингвистического словаря опираются на само понимание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как междисциплинарной области. В целом можно сказать, что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как относительно молодая наука характеризуется нечеткостью границ, что отражается в неоднородности самого этнолингвистического направления [Герд 1995; Толстая, электронный ресурс;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Березович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2007].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Теория отечественной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в новое время формировалась в тесной связи с решением научно-практических задач, а именно с созданием концепции лексикографического описания полевого экспедиционного материала при широком привлечении данных истории, этнографии, мифологии, фольклора и других смежных гуманитарных наук с целью реконструкции славянской духовной культуры. Так, в диссертации А.А. Плотниковой, выполненной под научным руководством Н.И. Толстого, этнолингвистический анализ оценивается с позиций взаимодействия трех аспектов: лингвистического, этнографического и фольклорного [Плотникова 1990], что указывает на расширенное понимание содержания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, выходящее за пределы только проявления признаков этноса через язык. Такой подход опирается на традицию, складывавшуюся в славистике на протяжении длительного времени [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Бартминьский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2005; 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Плотникова 2000], что позволило в ходе многолетних полевых наблюдений, контактов и дискуссий создать свою школу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: «Подлинным форумом польско-русского научного обмена стал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люблинский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ежегодный сборник “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”, основанный в 1988 году» [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Бартминьский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электронный ресурс]. Основные положения московской школы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изложены в многочисленных публикациях ее основателей и сторонников [см.: Толстая, электронный ресурс]. Научно-практической реализацией идей основателя этой школы Н.И. Толстого явился фундаментальный этнолингвистический словарь «Славянские древности» (1995–2012 гг.).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мы наблюдаем классический пример единства научной теории и лексикографической практики, взаимно </w:t>
      </w:r>
      <w:proofErr w:type="gram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дополняющих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друг друга. Причем в истории отечественной науки пример взаимосвязанного становления лингвистической теории и </w:t>
      </w:r>
      <w:proofErr w:type="gram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реализации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лексикографических научно-практических проектов далеко не единственный, о чем свидетельствует, например, складывание научной школы Б.А. Ларина, в рамках одного из направлений которой сформировалась псковская диалектология, воплотившая идеи ее создателя в продолжающемся многотомном издании «Псковского областного словаря с историческими данными».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В данной работе мы не ставим своей задачей обсуждение дискуссионных теоретических проблем о границах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о ее взаимоотношении с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лингвокультурологией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и такими пограничными науками, как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этнофольклористика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лингвофольклористика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. Подчеркнем только, что, по нашим наблюдениям, термин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чаще используется применительно к исследованию региональных, диалектных источников, к изучению традиционной народной культуры и народной речи, вскрывающей нередко архаические пласты культуры и языка. В понятие этноса при этом вкладывается представление не только о </w:t>
      </w:r>
      <w:proofErr w:type="gram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сформировавшихся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современных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макросообществах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но и о локальных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микрогруппах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объединенных общностью территории, местными особенностями языка и региональными культурными традициями.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таким образом, тяготеет к историческим наукам, к диахроническому видению культурных и языковых процессов. </w:t>
      </w:r>
      <w:proofErr w:type="gramStart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Хотя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лингвокультурологии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не чужд динамический подход к анализу явлений (см. например: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Белякова 2012), тем не </w:t>
      </w:r>
      <w:proofErr w:type="gram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менее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она представляет собой по преимуществу синхроническое направление, в рамках которого проводятся сопоставительные исследования объектов, национально детерминированных.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Предмет нашего исследования находится в поле научно-практической интерпретации объектов региональной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этнолингвистики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средствами 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lastRenderedPageBreak/>
        <w:t>лексикографии. Примеров этнолингвистических словарей в отечественной лексикографии не так много. Кроме уже выделенного словаря «Славянские древности», можно отметить издание, посвященное свадебному обряду, объединяющее в себе два корпуса: словарь свадебной терминологии и справочник свадебной символики [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Подюков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и др. 2004].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Недостаточная разработанность жанра этнолингвистического словаря отчасти объясняется тем, что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лексикографирование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культуры [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Лиханова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2011] находит воплощение в лексико-фразеологическом фонде областных словарей. Ярким примером такого словаря является «Псковский областной словарь с историческими данными». Будучи словарем полного типа, он содержит информацию о различных сферах материальной и духовной культуры псковских местных жителей в их прошлом и настоящем. Богатейшая картотека этого словаря, часть которой хранится в Псковском государственном университете, по объективным причинам не полностью находит отражение в самом словаре и оказывается доступной только специалистам. Кроме того, псковский архив содержит значительную по объему и представленности фольклорно-этнографическую часть, которая включает как рукописный фонд (экспедиционные тетради, третья часть которых – более 500 единиц – отсканирована), так и к настоящему времени оцифрованный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аудиофонд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(более 1055 час</w:t>
      </w:r>
      <w:proofErr w:type="gramStart"/>
      <w:r w:rsidRPr="00433557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з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>вучания). Если материалы диалектной картотеки, хранящейся в Пскове, получают системное описание в «Псковском областном словаре», то фонды фольклорно-этнографического архива стали предметом активного исследования лишь в последние годы. Богатейшим источником этнолингвистической информации являются псковские сказки, изданные коллективом лаборатории, тексты которых содержат многочисленные указания и даже описания местных этнографических реалий [Народные сказки Псковского края].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Таким образом, к идее создания регионального этнолингвистического словаря привело наличие достаточной эмпирической базы, что позволило выявить и системно организовать материал, отражающий важные черты традиционной культуры, воплощенные в речи псковских крестьян.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>Идеографический принцип организации словаря содержит в себе простор для расширения его корпуса без существенного изменения структуры. В словаре разработаны фундаментальные с точки зрения этнографии тематические группы, однако это далеко не полный перечень тем, лексика которых нуждается в этнолингвистическом описании. За пределами словаря остались темы, связанные с наименованиями хозяйственных предметов быта, домашней утвари, ремесел и изделий, в частности изготовленных плетением, орудий труда, обработки земли и мн. др.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Будучи этнолингвистическим по своей направленности, словарь «Традиционный быт псковских крестьян» имеет четко выраженные черты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лингвоцентризма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что выражается в системно представленных языковых репрезентациях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этнографизмов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большой по объему коммуникативно-функциональной части (речевого материала), этимологических данных.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>Структура словарной статьи разработана авторским коллективом словаря. Реализованные принципы построения словарной статьи опираются на содержательный потенциал источников, которые включают не только объемный текстовый материал, но и данные о широкой вариативности диалектных наименований.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При широком понимании вариативности как репрезентативном множестве при наименовании одной и той же реалии неизбежно встает вопрос о наличии инварианта. Для практического решения вопроса заголовочного слова и статуса различных форм языковой репрезентации необходимо было разработать модель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вариантно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-инвариантных отношений внутри конкретных форм развертывания вариантного ряда. Основные формальные модификации наименования реализуются в следующих разновидностях: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акцентологические варианты: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бере’щеники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береще’ники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берещеники</w:t>
      </w:r>
      <w:proofErr w:type="spellEnd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’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бра’нина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брани’на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proofErr w:type="gram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за’борка</w:t>
      </w:r>
      <w:proofErr w:type="spellEnd"/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забо’рка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фонетические варианты: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бульбени’ха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гульбени’ха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бульб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…/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гульб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…); </w:t>
      </w:r>
      <w:proofErr w:type="spellStart"/>
      <w:proofErr w:type="gram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ко’фта</w:t>
      </w:r>
      <w:proofErr w:type="spellEnd"/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ко’хта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ска’тереть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ска’терсть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ска’терть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морфологические варианты (варианты грамматического рода, вариантность форм единственного и множественного числа, вариантность основ в пределах одного типа склонения):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за’дво’рок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ед.ч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proofErr w:type="gram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за’дворки</w:t>
      </w:r>
      <w:proofErr w:type="spellEnd"/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мн.ч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.;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коню’шня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коню’шна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ста’тива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ж.р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.,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ста’тиво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ср.р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.;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словообразовательные параллели (однокоренные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разноаффиксные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образования): </w:t>
      </w:r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блин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блине’ц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блино’к</w:t>
      </w:r>
      <w:proofErr w:type="spellEnd"/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блино’чек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за’уголок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зауго’льник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зауго’льничек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кружа’стина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кружева’стина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кружевя’тина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>•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ab/>
        <w:t xml:space="preserve">номинативные параллели (близкие или тождественные по смыслу и функции наименования в форме слова либо словосочетания):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барка’нник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proofErr w:type="gram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морко’вник</w:t>
      </w:r>
      <w:proofErr w:type="spellEnd"/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е’вня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/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ё’вня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ови’н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рей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ри’га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;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малаха’й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треу’х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уша’нка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Представленные формы имеют разный языковой статус. Если первые три, связанные с модификацией звучания и формально грамматическими признаками, являются вариантами одного и того же слова, то два последних типа признаются авторами разными единицами. Причем словообразовательные параллели, по общему мнению диалектологов, занимают промежуточное положение между вариантами одного слова и разными словами-синонимами. Таким образом, представленные в одном блоке в градационной последовательности, разные формы наименования 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отражают свойственную диалектной речи множественность номинации в пределах тождества и отдельности слова.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>Обратим внимание на то, что указанные ряды включают также и заголовочное слово, что должно продемонстрировать известную условность вынесения в заголовок одного из вариантов (или отдельного наименования), т.к. известно, что лексико-фонетическая, лексико-грамматическая и лексико-словообразовательная репрезентация наименования этнографической реалии может проявиться только в контексте – речевом, локальном (территориальном) и социокультурном.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Приведем один из примеров словарной статьи, где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этнографизм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отражает «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сверхизбыточность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» формы при отсутствии, к тому же, общерусского наименования. Речь идет о названии особой веревочки, бечевки или специально сплетенной из цветных нитей тесьмы, служившей для привязывания пучка льняного волокна или шерсти к лопасти (</w:t>
      </w:r>
      <w:proofErr w:type="gram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личине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>) прялки. Изготовлением такой тесьмы нередко занимались мужчины. Во время молодежных посиделок (</w:t>
      </w:r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супрядок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>) парень мог сплести такой шнурок и подарить девушке в знак своего расположения к ней, а также – перерезать его на прялке, что служило сигналом окончания работы и начала молодежного гулянья.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Акцентологические варианты: </w:t>
      </w:r>
      <w:proofErr w:type="spellStart"/>
      <w:proofErr w:type="gram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мото’воз</w:t>
      </w:r>
      <w:proofErr w:type="spellEnd"/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мотово’з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Фонетические варианты: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мото’</w:t>
      </w:r>
      <w:proofErr w:type="gram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во’з</w:t>
      </w:r>
      <w:proofErr w:type="spellEnd"/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муто’воз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мутуо’с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муто’во’с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мото’ус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мото’уз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мото’вуз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Номинативные параллели: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муто’вяз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мото’яз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муто’вис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мута’вис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муто’вец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мутузо’к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муто’вочка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Далее следует зона иллюстративного материала, задача которого не просто подтвердить использование слова в диалектной речи, но последовательно отразить многообразие признаков описываемой реалии, а также языком самих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диалектоносителей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дать функциональную, социальную, культурную оценку этнографического и лингвистического факта.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Наименования этнографических реалий могут входить в состав устойчивых выражений, что подчеркивает их функциональную широту в диалектной речи. Отдельно приводятся примеры употребления слова в произведениях фольклорных жанров, собранных на территории современной Псковской области: сказках, легендах, преданиях, песнях, частушках, приметах, детском фольклоре. К сфере фольклора отнесены также пословицы и поговорки. Завершается словарная статья этимологической справкой, отражающей словообразовательные отношения производного слова внутри диалектной системы, а также раскрываются исторические связи слова или его корня со ссылкой на этимологические словари или специальные 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исследования, в том числе и авторские. Приведем пример такой справки для рассматриваемого слова.  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Этимология. </w:t>
      </w:r>
      <w:proofErr w:type="gramStart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Название в различных вариантах известно всем русским говорам и многим славянским языкам: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укр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мотоу’з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моту’з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блр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мо’туз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сербохорв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мàтузица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словен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433557">
        <w:rPr>
          <w:rFonts w:ascii="Times New Roman" w:hAnsi="Times New Roman" w:cs="Times New Roman"/>
          <w:sz w:val="28"/>
          <w:szCs w:val="28"/>
        </w:rPr>
        <w:t>motv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ò</w:t>
      </w:r>
      <w:r w:rsidRPr="00433557">
        <w:rPr>
          <w:rFonts w:ascii="Times New Roman" w:hAnsi="Times New Roman" w:cs="Times New Roman"/>
          <w:sz w:val="28"/>
          <w:szCs w:val="28"/>
        </w:rPr>
        <w:t>z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433557">
        <w:rPr>
          <w:rFonts w:ascii="Times New Roman" w:hAnsi="Times New Roman" w:cs="Times New Roman"/>
          <w:sz w:val="28"/>
          <w:szCs w:val="28"/>
        </w:rPr>
        <w:t>mot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>ò</w:t>
      </w:r>
      <w:r w:rsidRPr="00433557">
        <w:rPr>
          <w:rFonts w:ascii="Times New Roman" w:hAnsi="Times New Roman" w:cs="Times New Roman"/>
          <w:sz w:val="28"/>
          <w:szCs w:val="28"/>
        </w:rPr>
        <w:t>z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и др. В русских памятниках письменности самые ранние фиксации относятся к </w:t>
      </w:r>
      <w:r w:rsidRPr="00433557">
        <w:rPr>
          <w:rFonts w:ascii="Times New Roman" w:hAnsi="Times New Roman" w:cs="Times New Roman"/>
          <w:sz w:val="28"/>
          <w:szCs w:val="28"/>
        </w:rPr>
        <w:t>XVI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>–</w:t>
      </w:r>
      <w:r w:rsidRPr="00433557">
        <w:rPr>
          <w:rFonts w:ascii="Times New Roman" w:hAnsi="Times New Roman" w:cs="Times New Roman"/>
          <w:sz w:val="28"/>
          <w:szCs w:val="28"/>
        </w:rPr>
        <w:t>XVII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вв. Является сложным словом, образованным от мотать &lt; *</w:t>
      </w:r>
      <w:proofErr w:type="spellStart"/>
      <w:r w:rsidRPr="00433557">
        <w:rPr>
          <w:rFonts w:ascii="Times New Roman" w:hAnsi="Times New Roman" w:cs="Times New Roman"/>
          <w:sz w:val="28"/>
          <w:szCs w:val="28"/>
        </w:rPr>
        <w:t>motati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 и вязать, узел &lt; *</w:t>
      </w:r>
      <w:proofErr w:type="spellStart"/>
      <w:r w:rsidRPr="00433557">
        <w:rPr>
          <w:rFonts w:ascii="Times New Roman" w:hAnsi="Times New Roman" w:cs="Times New Roman"/>
          <w:sz w:val="28"/>
          <w:szCs w:val="28"/>
        </w:rPr>
        <w:t>vọz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ъ.</w:t>
      </w:r>
      <w:proofErr w:type="gram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Все многочисленные разновидности звучания (в русских говорах их число приближается к 50-ти единицам) являются результатом фонетических преобразований обоих корней. Древнее значение корня у глагола </w:t>
      </w:r>
      <w:r w:rsidRPr="00433557">
        <w:rPr>
          <w:rFonts w:ascii="Times New Roman" w:hAnsi="Times New Roman" w:cs="Times New Roman"/>
          <w:i/>
          <w:sz w:val="28"/>
          <w:szCs w:val="28"/>
          <w:lang w:val="ru-RU"/>
        </w:rPr>
        <w:t>мотать</w:t>
      </w: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связывают с понятием меры, измерения: общеславянское *</w:t>
      </w:r>
      <w:proofErr w:type="spellStart"/>
      <w:r w:rsidRPr="00433557">
        <w:rPr>
          <w:rFonts w:ascii="Times New Roman" w:hAnsi="Times New Roman" w:cs="Times New Roman"/>
          <w:sz w:val="28"/>
          <w:szCs w:val="28"/>
        </w:rPr>
        <w:t>motati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, возможно, означало ‘развивать и свивать с целью измерения, обмера чего-н.’. Ср. лит. </w:t>
      </w:r>
      <w:proofErr w:type="spellStart"/>
      <w:r w:rsidRPr="00433557">
        <w:rPr>
          <w:rFonts w:ascii="Times New Roman" w:hAnsi="Times New Roman" w:cs="Times New Roman"/>
          <w:sz w:val="28"/>
          <w:szCs w:val="28"/>
        </w:rPr>
        <w:t>matas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‘мера’, </w:t>
      </w:r>
      <w:proofErr w:type="spellStart"/>
      <w:r w:rsidRPr="00433557">
        <w:rPr>
          <w:rFonts w:ascii="Times New Roman" w:hAnsi="Times New Roman" w:cs="Times New Roman"/>
          <w:sz w:val="28"/>
          <w:szCs w:val="28"/>
        </w:rPr>
        <w:t>matuoti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‘мерить, обмеривать’ [Традиционный быт… 2012, с. 112–113].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Краткий обзор материалов изданного словаря показывает, что при всей его информационной насыщенности рамки традиционного книжного формата издания не позволяют реализовать все этнолингвистические и культурологические возможности псковского диалектного и фольклорно-этнографического архива. Слабым местом книжного издания является отсутствие визуальных иллюстраций, имеющих особое значение для 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этнографизмов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>. Кроме того, в словаре остался недостаточно реализованным богатый потенциал псковского фольклорно-этнографического аудиоархива. Разумеется, далеко не все слова-реалии содержат в себе символический смысл, однако значительное их число возможно проиллюстрировать функционированием в песенных и вербальных жанрах псковского фольклора. Все отмеченные «резервы» были очевидны для авторов в ходе подготовки издания, однако формат словаря не позволял полнее раскрыть культурную значимость языковых материалов и стоящих за ними этнографических реалий.</w:t>
      </w:r>
    </w:p>
    <w:p w:rsidR="00433557" w:rsidRPr="00433557" w:rsidRDefault="00433557" w:rsidP="00433557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33557">
        <w:rPr>
          <w:rFonts w:ascii="Times New Roman" w:hAnsi="Times New Roman" w:cs="Times New Roman"/>
          <w:sz w:val="28"/>
          <w:szCs w:val="28"/>
          <w:lang w:val="ru-RU"/>
        </w:rPr>
        <w:t>С этой целью в настоящее время осуществляется проект создания электронной версии псковского регионального этнолингвистического словаря. Электронными словарями принято называть автоматизированные системы «интеллектуального назначения с собранными и определенным образом упорядоченными наименованиями поняти</w:t>
      </w:r>
      <w:bookmarkStart w:id="0" w:name="_GoBack"/>
      <w:bookmarkEnd w:id="0"/>
      <w:r w:rsidRPr="00433557">
        <w:rPr>
          <w:rFonts w:ascii="Times New Roman" w:hAnsi="Times New Roman" w:cs="Times New Roman"/>
          <w:sz w:val="28"/>
          <w:szCs w:val="28"/>
          <w:lang w:val="ru-RU"/>
        </w:rPr>
        <w:t>й в той отрасли, с которой работает или на которую опирается эта автоматизированная система» [</w:t>
      </w:r>
      <w:proofErr w:type="spellStart"/>
      <w:r w:rsidRPr="00433557">
        <w:rPr>
          <w:rFonts w:ascii="Times New Roman" w:hAnsi="Times New Roman" w:cs="Times New Roman"/>
          <w:sz w:val="28"/>
          <w:szCs w:val="28"/>
          <w:lang w:val="ru-RU"/>
        </w:rPr>
        <w:t>Дубичинский</w:t>
      </w:r>
      <w:proofErr w:type="spellEnd"/>
      <w:r w:rsidRPr="00433557">
        <w:rPr>
          <w:rFonts w:ascii="Times New Roman" w:hAnsi="Times New Roman" w:cs="Times New Roman"/>
          <w:sz w:val="28"/>
          <w:szCs w:val="28"/>
          <w:lang w:val="ru-RU"/>
        </w:rPr>
        <w:t xml:space="preserve"> 2008, с.  368]. Разработанная электронная база данных включает поля, соответствующие структурным элементам словарной статьи в книжном издании. Помимо этого, имеется возможность прикрепления к уже сформированной, главным образом языковой, информации фотоматериалов, аудиофайлов.</w:t>
      </w:r>
    </w:p>
    <w:p w:rsidR="00433557" w:rsidRPr="00433557" w:rsidRDefault="00433557" w:rsidP="005B3106">
      <w:pPr>
        <w:pStyle w:val="a3"/>
        <w:spacing w:before="0" w:beforeAutospacing="0" w:after="150" w:afterAutospacing="0"/>
        <w:ind w:firstLine="240"/>
        <w:jc w:val="both"/>
        <w:rPr>
          <w:color w:val="000000" w:themeColor="text1"/>
          <w:sz w:val="28"/>
          <w:szCs w:val="28"/>
          <w:lang w:val="ru-RU"/>
        </w:rPr>
      </w:pPr>
    </w:p>
    <w:p w:rsidR="005B3106" w:rsidRPr="00433557" w:rsidRDefault="005B3106" w:rsidP="005B310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ru-RU"/>
        </w:rPr>
      </w:pPr>
    </w:p>
    <w:p w:rsidR="00713AF4" w:rsidRPr="00433557" w:rsidRDefault="00713AF4" w:rsidP="006918B8">
      <w:pPr>
        <w:spacing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  <w:lang w:val="ru-RU"/>
        </w:rPr>
      </w:pPr>
    </w:p>
    <w:sectPr w:rsidR="00713AF4" w:rsidRPr="004335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A6A88"/>
    <w:multiLevelType w:val="multilevel"/>
    <w:tmpl w:val="721AC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E855287"/>
    <w:multiLevelType w:val="hybridMultilevel"/>
    <w:tmpl w:val="91A27282"/>
    <w:lvl w:ilvl="0" w:tplc="0082FC8E">
      <w:start w:val="1"/>
      <w:numFmt w:val="upperRoman"/>
      <w:lvlText w:val="%1."/>
      <w:lvlJc w:val="left"/>
      <w:pPr>
        <w:ind w:left="1080" w:hanging="72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B6553A"/>
    <w:multiLevelType w:val="multilevel"/>
    <w:tmpl w:val="E904F5E6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00" w:hanging="72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1080"/>
      </w:pPr>
    </w:lvl>
    <w:lvl w:ilvl="4">
      <w:start w:val="1"/>
      <w:numFmt w:val="decimal"/>
      <w:isLgl/>
      <w:lvlText w:val="%1.%2.%3.%4.%5"/>
      <w:lvlJc w:val="left"/>
      <w:pPr>
        <w:ind w:left="2520" w:hanging="1440"/>
      </w:pPr>
    </w:lvl>
    <w:lvl w:ilvl="5">
      <w:start w:val="1"/>
      <w:numFmt w:val="decimal"/>
      <w:isLgl/>
      <w:lvlText w:val="%1.%2.%3.%4.%5.%6"/>
      <w:lvlJc w:val="left"/>
      <w:pPr>
        <w:ind w:left="2520" w:hanging="1440"/>
      </w:pPr>
    </w:lvl>
    <w:lvl w:ilvl="6">
      <w:start w:val="1"/>
      <w:numFmt w:val="decimal"/>
      <w:isLgl/>
      <w:lvlText w:val="%1.%2.%3.%4.%5.%6.%7"/>
      <w:lvlJc w:val="left"/>
      <w:pPr>
        <w:ind w:left="2880" w:hanging="1800"/>
      </w:p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72A"/>
    <w:rsid w:val="000E2031"/>
    <w:rsid w:val="00114DB4"/>
    <w:rsid w:val="001A3084"/>
    <w:rsid w:val="00275251"/>
    <w:rsid w:val="004035AF"/>
    <w:rsid w:val="00433557"/>
    <w:rsid w:val="005B3106"/>
    <w:rsid w:val="00621BFE"/>
    <w:rsid w:val="006918B8"/>
    <w:rsid w:val="006C22E2"/>
    <w:rsid w:val="00713AF4"/>
    <w:rsid w:val="00AB172A"/>
    <w:rsid w:val="00B15459"/>
    <w:rsid w:val="00BE33A5"/>
    <w:rsid w:val="00CC6F3E"/>
    <w:rsid w:val="00E275D8"/>
    <w:rsid w:val="00E37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918B8"/>
    <w:pPr>
      <w:ind w:left="720"/>
      <w:contextualSpacing/>
    </w:pPr>
    <w:rPr>
      <w:rFonts w:eastAsiaTheme="minorEastAsia"/>
      <w:lang w:val="ru-RU" w:eastAsia="ru-RU"/>
    </w:rPr>
  </w:style>
  <w:style w:type="character" w:styleId="a5">
    <w:name w:val="Emphasis"/>
    <w:basedOn w:val="a0"/>
    <w:uiPriority w:val="20"/>
    <w:qFormat/>
    <w:rsid w:val="001A308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14D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6918B8"/>
    <w:pPr>
      <w:ind w:left="720"/>
      <w:contextualSpacing/>
    </w:pPr>
    <w:rPr>
      <w:rFonts w:eastAsiaTheme="minorEastAsia"/>
      <w:lang w:val="ru-RU" w:eastAsia="ru-RU"/>
    </w:rPr>
  </w:style>
  <w:style w:type="character" w:styleId="a5">
    <w:name w:val="Emphasis"/>
    <w:basedOn w:val="a0"/>
    <w:uiPriority w:val="20"/>
    <w:qFormat/>
    <w:rsid w:val="001A308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00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6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4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14</Pages>
  <Words>4009</Words>
  <Characters>22852</Characters>
  <Application>Microsoft Office Word</Application>
  <DocSecurity>0</DocSecurity>
  <Lines>190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Morgan</dc:creator>
  <cp:keywords/>
  <dc:description/>
  <cp:lastModifiedBy>Alex Morgan</cp:lastModifiedBy>
  <cp:revision>5</cp:revision>
  <dcterms:created xsi:type="dcterms:W3CDTF">2018-05-06T07:44:00Z</dcterms:created>
  <dcterms:modified xsi:type="dcterms:W3CDTF">2018-05-06T16:29:00Z</dcterms:modified>
</cp:coreProperties>
</file>