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E6CE2" w14:textId="77777777" w:rsidR="000B4BD5" w:rsidRDefault="000B4BD5" w:rsidP="000B4BD5">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CHALLENGES ARISING FROM SALE AGREEMENT CHECKLIST</w:t>
      </w:r>
    </w:p>
    <w:p w14:paraId="23E705D4" w14:textId="77777777" w:rsidR="000B4BD5" w:rsidRDefault="000B4BD5" w:rsidP="000B4BD5">
      <w:pPr>
        <w:spacing w:line="1371" w:lineRule="exact"/>
        <w:rPr>
          <w:rFonts w:ascii="Roboto" w:hAnsi="Roboto"/>
          <w:color w:val="222222"/>
          <w:spacing w:val="7"/>
          <w:kern w:val="24"/>
          <w:sz w:val="33"/>
          <w:szCs w:val="33"/>
          <w:lang w:val="en-IN"/>
        </w:rPr>
      </w:pPr>
    </w:p>
    <w:p w14:paraId="68009D59" w14:textId="44C064C7" w:rsidR="000B4BD5" w:rsidRPr="000B4BD5" w:rsidRDefault="000B4BD5" w:rsidP="000B4BD5">
      <w:pPr>
        <w:spacing w:line="1371" w:lineRule="exact"/>
        <w:rPr>
          <w:rFonts w:ascii="Montserrat Bold" w:hAnsi="Montserrat Bold"/>
          <w:color w:val="222222"/>
          <w:spacing w:val="81"/>
          <w:kern w:val="24"/>
          <w:sz w:val="116"/>
          <w:szCs w:val="116"/>
          <w:lang w:val="en-US"/>
        </w:rPr>
      </w:pPr>
      <w:r>
        <w:rPr>
          <w:rFonts w:ascii="Roboto" w:hAnsi="Roboto"/>
          <w:color w:val="222222"/>
          <w:spacing w:val="7"/>
          <w:kern w:val="24"/>
          <w:sz w:val="33"/>
          <w:szCs w:val="33"/>
          <w:lang w:val="en-IN"/>
        </w:rPr>
        <w:t>[YOUR COMPANY NAME]</w:t>
      </w:r>
      <w:r>
        <w:rPr>
          <w:rFonts w:ascii="Roboto" w:hAnsi="Roboto"/>
          <w:color w:val="222222"/>
          <w:spacing w:val="7"/>
          <w:kern w:val="24"/>
          <w:sz w:val="33"/>
          <w:szCs w:val="33"/>
          <w:lang w:val="en-IN"/>
        </w:rPr>
        <w:t xml:space="preserve"> </w:t>
      </w:r>
    </w:p>
    <w:p w14:paraId="7AA14A1A" w14:textId="77777777" w:rsidR="000B4BD5" w:rsidRDefault="000B4BD5" w:rsidP="000B4BD5">
      <w:pPr>
        <w:spacing w:line="465" w:lineRule="exact"/>
        <w:rPr>
          <w:rFonts w:ascii="Roboto" w:hAnsi="Roboto"/>
          <w:color w:val="222222"/>
          <w:spacing w:val="7"/>
          <w:kern w:val="24"/>
          <w:sz w:val="33"/>
          <w:szCs w:val="33"/>
          <w:lang w:val="en-IN"/>
        </w:rPr>
      </w:pPr>
    </w:p>
    <w:p w14:paraId="60A5E469" w14:textId="77777777" w:rsidR="000B4BD5" w:rsidRDefault="000B4BD5" w:rsidP="000B4BD5"/>
    <w:p w14:paraId="11923143" w14:textId="77777777" w:rsidR="000B4BD5" w:rsidRDefault="000B4BD5">
      <w:pPr>
        <w:spacing w:after="160" w:line="259" w:lineRule="auto"/>
        <w:rPr>
          <w:rFonts w:ascii="Arial" w:eastAsia="Arial" w:hAnsi="Arial" w:cs="Arial"/>
          <w:b/>
          <w:color w:val="000000"/>
          <w:lang w:val="en-US" w:eastAsia="en-US" w:bidi="en-US"/>
        </w:rPr>
      </w:pPr>
      <w:r>
        <w:rPr>
          <w:rFonts w:ascii="Arial" w:eastAsia="Arial" w:hAnsi="Arial" w:cs="Arial"/>
          <w:b/>
          <w:color w:val="000000"/>
          <w:lang w:val="en-US" w:eastAsia="en-US" w:bidi="en-US"/>
        </w:rPr>
        <w:br w:type="page"/>
      </w:r>
    </w:p>
    <w:p w14:paraId="0E9D5A18" w14:textId="70D76031"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color w:val="000000"/>
          <w:lang w:val="en-US" w:eastAsia="en-US" w:bidi="en-US"/>
        </w:rPr>
      </w:pPr>
      <w:r>
        <w:rPr>
          <w:rFonts w:ascii="Arial" w:eastAsia="Arial" w:hAnsi="Arial" w:cs="Arial"/>
          <w:b/>
          <w:color w:val="000000"/>
          <w:lang w:val="en-US" w:eastAsia="en-US" w:bidi="en-US"/>
        </w:rPr>
        <w:lastRenderedPageBreak/>
        <w:t>CHECKLIST</w:t>
      </w:r>
    </w:p>
    <w:p w14:paraId="4596011E"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color w:val="000000"/>
          <w:lang w:val="en-US" w:eastAsia="en-US" w:bidi="en-US"/>
        </w:rPr>
      </w:pPr>
    </w:p>
    <w:p w14:paraId="26B5B0CB" w14:textId="720365E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color w:val="000000"/>
          <w:lang w:val="en-US" w:eastAsia="en-US" w:bidi="en-US"/>
        </w:rPr>
      </w:pPr>
      <w:r>
        <w:rPr>
          <w:rFonts w:ascii="Arial" w:eastAsia="Arial" w:hAnsi="Arial" w:cs="Arial"/>
          <w:b/>
          <w:color w:val="000000"/>
          <w:lang w:val="en-US" w:eastAsia="en-US" w:bidi="en-US"/>
        </w:rPr>
        <w:t xml:space="preserve">BUY/SELL AGREEMENTS </w:t>
      </w:r>
      <w:r w:rsidR="001E2480">
        <w:rPr>
          <w:rFonts w:ascii="Arial" w:eastAsia="Arial" w:hAnsi="Arial" w:cs="Arial"/>
          <w:b/>
          <w:color w:val="000000"/>
          <w:lang w:val="en-US" w:eastAsia="en-US" w:bidi="en-US"/>
        </w:rPr>
        <w:t>–</w:t>
      </w:r>
      <w:r>
        <w:rPr>
          <w:rFonts w:ascii="Arial" w:eastAsia="Arial" w:hAnsi="Arial" w:cs="Arial"/>
          <w:b/>
          <w:color w:val="000000"/>
          <w:lang w:val="en-US" w:eastAsia="en-US" w:bidi="en-US"/>
        </w:rPr>
        <w:t xml:space="preserve"> </w:t>
      </w:r>
      <w:r w:rsidR="001E2480">
        <w:rPr>
          <w:rFonts w:ascii="Arial" w:eastAsia="Arial" w:hAnsi="Arial" w:cs="Arial"/>
          <w:b/>
          <w:color w:val="000000"/>
          <w:lang w:val="en-US" w:eastAsia="en-US" w:bidi="en-US"/>
        </w:rPr>
        <w:t xml:space="preserve">Challenges </w:t>
      </w:r>
    </w:p>
    <w:p w14:paraId="234C2DDF"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3C887A7C" w14:textId="7B3DFE35" w:rsidR="004A6830" w:rsidRDefault="001E24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When entering into agreements and conducting businesses, it is likely that you will face challenges which may in some cases lead to disputes which can be expensive. The correct approach is to foresee such challenges and take relevant measures to prevent disputes from manifesting. </w:t>
      </w:r>
    </w:p>
    <w:p w14:paraId="6F7532A4"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0"/>
          <w:lang w:val="en-US" w:eastAsia="en-US" w:bidi="en-US"/>
        </w:rPr>
      </w:pPr>
    </w:p>
    <w:p w14:paraId="7E24C126" w14:textId="7777777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Use the checklist below to determine areas where you may need assistance. Answer Yes or No to each question. </w:t>
      </w:r>
    </w:p>
    <w:p w14:paraId="6312CD82"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color w:val="000000"/>
          <w:sz w:val="20"/>
          <w:lang w:val="en-US" w:eastAsia="en-US" w:bidi="en-US"/>
        </w:rPr>
      </w:pPr>
    </w:p>
    <w:p w14:paraId="6362D40F"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color w:val="000000"/>
          <w:sz w:val="20"/>
          <w:lang w:val="en-US" w:eastAsia="en-US" w:bidi="en-US"/>
        </w:rPr>
      </w:pPr>
    </w:p>
    <w:p w14:paraId="616E2980" w14:textId="7777777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b/>
          <w:color w:val="000000"/>
          <w:sz w:val="20"/>
          <w:lang w:val="en-US" w:eastAsia="en-US" w:bidi="en-US"/>
        </w:rPr>
        <w:t>Applicability</w:t>
      </w:r>
      <w:r>
        <w:rPr>
          <w:rFonts w:ascii="Arial" w:eastAsia="Arial" w:hAnsi="Arial" w:cs="Arial"/>
          <w:color w:val="000000"/>
          <w:sz w:val="20"/>
          <w:lang w:val="en-US" w:eastAsia="en-US" w:bidi="en-US"/>
        </w:rPr>
        <w:t xml:space="preserve"> </w:t>
      </w:r>
    </w:p>
    <w:p w14:paraId="5A3AFC79"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23F49A28"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agreement apply only to the current owners or should it be binding on all owners throughout the life of the business entity? </w:t>
      </w:r>
    </w:p>
    <w:p w14:paraId="79CAAF18"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agreement provide that it supersedes all other agreements to redeem a business interest? </w:t>
      </w:r>
    </w:p>
    <w:p w14:paraId="6FAC1F41"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Is the agreement being reviewed annually? (Changes of price or terms should require a unanimous vote of the owners.) </w:t>
      </w:r>
    </w:p>
    <w:p w14:paraId="3938046A"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Arial" w:eastAsia="Arial" w:hAnsi="Arial" w:cs="Arial"/>
          <w:color w:val="000000"/>
          <w:sz w:val="20"/>
          <w:lang w:val="en-US" w:eastAsia="en-US" w:bidi="en-US"/>
        </w:rPr>
      </w:pPr>
    </w:p>
    <w:p w14:paraId="350E1D77"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Arial" w:eastAsia="Arial" w:hAnsi="Arial" w:cs="Arial"/>
          <w:color w:val="000000"/>
          <w:sz w:val="20"/>
          <w:lang w:val="en-US" w:eastAsia="en-US" w:bidi="en-US"/>
        </w:rPr>
      </w:pPr>
    </w:p>
    <w:p w14:paraId="798D3897" w14:textId="7777777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b/>
          <w:color w:val="000000"/>
          <w:sz w:val="20"/>
          <w:lang w:val="en-US" w:eastAsia="en-US" w:bidi="en-US"/>
        </w:rPr>
        <w:t>Type of Agreement</w:t>
      </w:r>
      <w:r>
        <w:rPr>
          <w:rFonts w:ascii="Arial" w:eastAsia="Arial" w:hAnsi="Arial" w:cs="Arial"/>
          <w:color w:val="000000"/>
          <w:sz w:val="20"/>
          <w:lang w:val="en-US" w:eastAsia="en-US" w:bidi="en-US"/>
        </w:rPr>
        <w:t xml:space="preserve"> </w:t>
      </w:r>
    </w:p>
    <w:p w14:paraId="39C0FB4E"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3B75C251"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agreement be structured as a redemption agreement or as a cross-purchase agreement? </w:t>
      </w:r>
    </w:p>
    <w:p w14:paraId="2FAC753E"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agreement be structured: </w:t>
      </w:r>
    </w:p>
    <w:p w14:paraId="061AA0DF" w14:textId="77777777" w:rsidR="004A6830" w:rsidRDefault="00AB0604">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To require the seller to sell and the buyer to buy? </w:t>
      </w:r>
    </w:p>
    <w:p w14:paraId="469A3A37" w14:textId="77777777" w:rsidR="004A6830" w:rsidRDefault="00AB0604">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To give the buyer an option to require the seller to sell? </w:t>
      </w:r>
    </w:p>
    <w:p w14:paraId="25B83A75" w14:textId="77777777" w:rsidR="004A6830" w:rsidRDefault="00AB0604">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To give the seller an option to require the buyer to buy? </w:t>
      </w:r>
    </w:p>
    <w:p w14:paraId="27A75241" w14:textId="77777777" w:rsidR="004A6830" w:rsidRDefault="00AB0604">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To give a right of first refusal to the buyer? </w:t>
      </w:r>
    </w:p>
    <w:p w14:paraId="590B407C"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death of an owner cause an automatic buyout of the owners interest or should his/her family be allowed to remain as an owner? </w:t>
      </w:r>
    </w:p>
    <w:p w14:paraId="1FB5A9B8"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Arial" w:eastAsia="Arial" w:hAnsi="Arial" w:cs="Arial"/>
          <w:color w:val="000000"/>
          <w:sz w:val="20"/>
          <w:lang w:val="en-US" w:eastAsia="en-US" w:bidi="en-US"/>
        </w:rPr>
      </w:pPr>
    </w:p>
    <w:p w14:paraId="173CB510"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Arial" w:eastAsia="Arial" w:hAnsi="Arial" w:cs="Arial"/>
          <w:color w:val="000000"/>
          <w:sz w:val="20"/>
          <w:lang w:val="en-US" w:eastAsia="en-US" w:bidi="en-US"/>
        </w:rPr>
      </w:pPr>
    </w:p>
    <w:p w14:paraId="0EFAE9A7" w14:textId="7777777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b/>
          <w:color w:val="000000"/>
          <w:sz w:val="20"/>
          <w:lang w:val="en-US" w:eastAsia="en-US" w:bidi="en-US"/>
        </w:rPr>
        <w:t>Buyout Price and Time for Payout</w:t>
      </w:r>
      <w:r>
        <w:rPr>
          <w:rFonts w:ascii="Arial" w:eastAsia="Arial" w:hAnsi="Arial" w:cs="Arial"/>
          <w:color w:val="000000"/>
          <w:sz w:val="20"/>
          <w:lang w:val="en-US" w:eastAsia="en-US" w:bidi="en-US"/>
        </w:rPr>
        <w:t xml:space="preserve"> </w:t>
      </w:r>
    </w:p>
    <w:p w14:paraId="4AE2600B"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698B5E8F"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Should the buyout price from the estate or heirs of a deceased owner be addressed? If yes, when should it be paid? What interest rate should the obligation bear?</w:t>
      </w:r>
    </w:p>
    <w:p w14:paraId="22B7889D"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Should the buyout price to a disabled owner be addressed? If yes, when would it be paid?</w:t>
      </w:r>
    </w:p>
    <w:p w14:paraId="7600C1C1"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Should the buyout price to an owner who resigns or is dismissed be addressed? If yes, when should it be paid?</w:t>
      </w:r>
    </w:p>
    <w:p w14:paraId="1615F756"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there be a difference in price if there is an amiable parting of ways? If yes, when should it be paid? </w:t>
      </w:r>
    </w:p>
    <w:p w14:paraId="63BE5935"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buyout price to an owner who goes bankrupt be addressed? If yes, when should it be paid? </w:t>
      </w:r>
    </w:p>
    <w:p w14:paraId="18714496"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price reflect the fact that you are selling to a long time business associate rather than an outsider? </w:t>
      </w:r>
    </w:p>
    <w:p w14:paraId="4C60EB69" w14:textId="7777777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br w:type="page"/>
      </w:r>
      <w:r>
        <w:rPr>
          <w:rFonts w:ascii="Arial" w:eastAsia="Arial" w:hAnsi="Arial" w:cs="Arial"/>
          <w:b/>
          <w:color w:val="000000"/>
          <w:sz w:val="20"/>
          <w:lang w:val="en-US" w:eastAsia="en-US" w:bidi="en-US"/>
        </w:rPr>
        <w:lastRenderedPageBreak/>
        <w:t>Funding</w:t>
      </w:r>
      <w:r>
        <w:rPr>
          <w:rFonts w:ascii="Arial" w:eastAsia="Arial" w:hAnsi="Arial" w:cs="Arial"/>
          <w:color w:val="000000"/>
          <w:sz w:val="20"/>
          <w:lang w:val="en-US" w:eastAsia="en-US" w:bidi="en-US"/>
        </w:rPr>
        <w:t xml:space="preserve"> </w:t>
      </w:r>
    </w:p>
    <w:p w14:paraId="3D33E879"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0B6A2ED2"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agreement provide that the buyout be funded by life insurance or some other investment vehicle? </w:t>
      </w:r>
    </w:p>
    <w:p w14:paraId="0392DEFF"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If funded with life insurance: Should the type of life insurance used be addressed (i.e. term life, ordinary life, last to die, paid-up life, universal life or an endowment policy?) </w:t>
      </w:r>
    </w:p>
    <w:p w14:paraId="348192A9"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Should a life insurance trust be used?</w:t>
      </w:r>
    </w:p>
    <w:p w14:paraId="69E435CF"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all of the policy proceeds be required to be used to redeem the interest? </w:t>
      </w:r>
    </w:p>
    <w:p w14:paraId="72F12CEC"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Can part of the proceeds be used to help the entity recover from the loss of the owner? </w:t>
      </w:r>
    </w:p>
    <w:p w14:paraId="29555B10"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Should whole life insurance policies with cash values be transferred to the owner at termination or retirement?</w:t>
      </w:r>
    </w:p>
    <w:p w14:paraId="4A933C12"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0D744E6B"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41F1041C" w14:textId="7777777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b/>
          <w:color w:val="000000"/>
          <w:sz w:val="20"/>
          <w:lang w:val="en-US" w:eastAsia="en-US" w:bidi="en-US"/>
        </w:rPr>
        <w:t>Security</w:t>
      </w:r>
      <w:r>
        <w:rPr>
          <w:rFonts w:ascii="Arial" w:eastAsia="Arial" w:hAnsi="Arial" w:cs="Arial"/>
          <w:color w:val="000000"/>
          <w:sz w:val="20"/>
          <w:lang w:val="en-US" w:eastAsia="en-US" w:bidi="en-US"/>
        </w:rPr>
        <w:t xml:space="preserve"> </w:t>
      </w:r>
    </w:p>
    <w:p w14:paraId="56378A93"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2BCC1287"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agreement be guaranteed or secured? </w:t>
      </w:r>
    </w:p>
    <w:p w14:paraId="4EEF98D0"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If so, should the security be in the form of: </w:t>
      </w:r>
    </w:p>
    <w:p w14:paraId="58C6403F" w14:textId="77777777" w:rsidR="004A6830" w:rsidRDefault="00AB0604">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A pledge of business assets? </w:t>
      </w:r>
    </w:p>
    <w:p w14:paraId="489BA52D" w14:textId="77777777" w:rsidR="004A6830" w:rsidRDefault="00AB0604">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A personal guarantee by the other owners? </w:t>
      </w:r>
    </w:p>
    <w:p w14:paraId="161C8598" w14:textId="77777777" w:rsidR="004A6830" w:rsidRDefault="00AB0604">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An agreement obligating the entity to refrain from increasing salaries, paying dividends or making loans until all outstanding liabilities to the beneficiaries are paid? </w:t>
      </w:r>
    </w:p>
    <w:p w14:paraId="5F3DCE51"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color w:val="000000"/>
          <w:sz w:val="20"/>
          <w:lang w:val="en-US" w:eastAsia="en-US" w:bidi="en-US"/>
        </w:rPr>
      </w:pPr>
    </w:p>
    <w:p w14:paraId="6120D8CF"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color w:val="000000"/>
          <w:sz w:val="20"/>
          <w:lang w:val="en-US" w:eastAsia="en-US" w:bidi="en-US"/>
        </w:rPr>
      </w:pPr>
    </w:p>
    <w:p w14:paraId="442A5FCE" w14:textId="7777777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b/>
          <w:color w:val="000000"/>
          <w:sz w:val="20"/>
          <w:lang w:val="en-US" w:eastAsia="en-US" w:bidi="en-US"/>
        </w:rPr>
        <w:t>Loans</w:t>
      </w:r>
      <w:r>
        <w:rPr>
          <w:rFonts w:ascii="Arial" w:eastAsia="Arial" w:hAnsi="Arial" w:cs="Arial"/>
          <w:color w:val="000000"/>
          <w:sz w:val="20"/>
          <w:lang w:val="en-US" w:eastAsia="en-US" w:bidi="en-US"/>
        </w:rPr>
        <w:t xml:space="preserve"> </w:t>
      </w:r>
    </w:p>
    <w:p w14:paraId="28AA3D2D"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25F9AAEF"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disposition of owners' loans, whether receivables or payables, in the event of termination because of death or disability be addressed? </w:t>
      </w:r>
    </w:p>
    <w:p w14:paraId="761F6684"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disposition of owners' loans in the event of termination other than because of death or disability be addressed? </w:t>
      </w:r>
    </w:p>
    <w:p w14:paraId="2DACD209"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Arial" w:eastAsia="Arial" w:hAnsi="Arial" w:cs="Arial"/>
          <w:color w:val="000000"/>
          <w:sz w:val="20"/>
          <w:lang w:val="en-US" w:eastAsia="en-US" w:bidi="en-US"/>
        </w:rPr>
      </w:pPr>
    </w:p>
    <w:p w14:paraId="5A027551"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Arial" w:eastAsia="Arial" w:hAnsi="Arial" w:cs="Arial"/>
          <w:color w:val="000000"/>
          <w:sz w:val="20"/>
          <w:lang w:val="en-US" w:eastAsia="en-US" w:bidi="en-US"/>
        </w:rPr>
      </w:pPr>
    </w:p>
    <w:p w14:paraId="2B5B7A4C" w14:textId="7777777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b/>
          <w:color w:val="000000"/>
          <w:sz w:val="20"/>
          <w:lang w:val="en-US" w:eastAsia="en-US" w:bidi="en-US"/>
        </w:rPr>
        <w:t>Covenant Not to Compete</w:t>
      </w:r>
      <w:r>
        <w:rPr>
          <w:rFonts w:ascii="Arial" w:eastAsia="Arial" w:hAnsi="Arial" w:cs="Arial"/>
          <w:color w:val="000000"/>
          <w:sz w:val="20"/>
          <w:lang w:val="en-US" w:eastAsia="en-US" w:bidi="en-US"/>
        </w:rPr>
        <w:t xml:space="preserve"> </w:t>
      </w:r>
    </w:p>
    <w:p w14:paraId="6F6F6F3A"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210AF810"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there be a covenant not to compete? If so, should there be geographic and time limitations? </w:t>
      </w:r>
    </w:p>
    <w:p w14:paraId="3CDB382F" w14:textId="77777777" w:rsidR="004A6830" w:rsidRDefault="004A683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color w:val="000000"/>
          <w:sz w:val="20"/>
          <w:lang w:val="en-US" w:eastAsia="en-US" w:bidi="en-US"/>
        </w:rPr>
      </w:pPr>
    </w:p>
    <w:p w14:paraId="410729A8" w14:textId="77777777" w:rsidR="004A6830" w:rsidRDefault="004A683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color w:val="000000"/>
          <w:sz w:val="20"/>
          <w:lang w:val="en-US" w:eastAsia="en-US" w:bidi="en-US"/>
        </w:rPr>
      </w:pPr>
    </w:p>
    <w:p w14:paraId="4AD5EFEB" w14:textId="77777777" w:rsidR="004A6830" w:rsidRDefault="00AB06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b/>
          <w:color w:val="000000"/>
          <w:sz w:val="20"/>
          <w:lang w:val="en-US" w:eastAsia="en-US" w:bidi="en-US"/>
        </w:rPr>
        <w:t>Other</w:t>
      </w:r>
      <w:r>
        <w:rPr>
          <w:rFonts w:ascii="Arial" w:eastAsia="Arial" w:hAnsi="Arial" w:cs="Arial"/>
          <w:color w:val="000000"/>
          <w:sz w:val="20"/>
          <w:lang w:val="en-US" w:eastAsia="en-US" w:bidi="en-US"/>
        </w:rPr>
        <w:t xml:space="preserve"> </w:t>
      </w:r>
    </w:p>
    <w:p w14:paraId="0C61D4B4" w14:textId="77777777" w:rsidR="004A6830" w:rsidRDefault="004A68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p>
    <w:p w14:paraId="2029B810"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there be a period of disability before the other owners of the business have the right to buy out a disabled owner? </w:t>
      </w:r>
    </w:p>
    <w:p w14:paraId="7B86F9E7"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an owner have the right to transfer or assign to a trust, for estate-tax planning purposes, their rights and interests in the business? </w:t>
      </w:r>
    </w:p>
    <w:p w14:paraId="042E06B0"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 xml:space="preserve">Should the spouses of the owners sign the buy/sell agreement? </w:t>
      </w:r>
    </w:p>
    <w:p w14:paraId="74C33379" w14:textId="77777777" w:rsidR="004A6830" w:rsidRDefault="00AB0604">
      <w:pPr>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lang w:val="en-US" w:eastAsia="en-US" w:bidi="en-US"/>
        </w:rPr>
      </w:pPr>
      <w:r>
        <w:rPr>
          <w:rFonts w:ascii="Arial" w:eastAsia="Arial" w:hAnsi="Arial" w:cs="Arial"/>
          <w:color w:val="000000"/>
          <w:sz w:val="20"/>
          <w:lang w:val="en-US" w:eastAsia="en-US" w:bidi="en-US"/>
        </w:rPr>
        <w:t>Do other family members presently own any stock?</w:t>
      </w:r>
    </w:p>
    <w:p w14:paraId="7F9AA93B" w14:textId="77777777" w:rsidR="004A6830" w:rsidRDefault="004A6830">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360"/>
        <w:rPr>
          <w:rFonts w:ascii="Arial" w:eastAsia="Arial" w:hAnsi="Arial" w:cs="Arial"/>
          <w:color w:val="000000"/>
          <w:sz w:val="20"/>
          <w:lang w:val="en-US" w:eastAsia="en-US" w:bidi="en-US"/>
        </w:rPr>
      </w:pPr>
    </w:p>
    <w:sectPr w:rsidR="004A6830">
      <w:pgSz w:w="12240" w:h="15840"/>
      <w:pgMar w:top="1440" w:right="1440" w:bottom="1258"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37C69" w14:textId="77777777" w:rsidR="002B1845" w:rsidRDefault="002B1845">
      <w:r>
        <w:separator/>
      </w:r>
    </w:p>
  </w:endnote>
  <w:endnote w:type="continuationSeparator" w:id="0">
    <w:p w14:paraId="1593163F" w14:textId="77777777" w:rsidR="002B1845" w:rsidRDefault="002B1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Bold">
    <w:altName w:val="Montserrat"/>
    <w:panose1 w:val="020B0604020202020204"/>
    <w:charset w:val="00"/>
    <w:family w:val="roman"/>
    <w:pitch w:val="default"/>
  </w:font>
  <w:font w:name="Roboto">
    <w:altName w:val="Times New Roman"/>
    <w:panose1 w:val="02000000000000000000"/>
    <w:charset w:val="00"/>
    <w:family w:val="auto"/>
    <w:pitch w:val="variable"/>
    <w:sig w:usb0="E00002FF" w:usb1="5000205B" w:usb2="0000002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3A043" w14:textId="77777777" w:rsidR="002B1845" w:rsidRDefault="002B1845">
      <w:r>
        <w:separator/>
      </w:r>
    </w:p>
  </w:footnote>
  <w:footnote w:type="continuationSeparator" w:id="0">
    <w:p w14:paraId="67258167" w14:textId="77777777" w:rsidR="002B1845" w:rsidRDefault="002B18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C5772"/>
    <w:multiLevelType w:val="singleLevel"/>
    <w:tmpl w:val="11E875A6"/>
    <w:lvl w:ilvl="0">
      <w:start w:val="1"/>
      <w:numFmt w:val="bullet"/>
      <w:lvlText w:val=""/>
      <w:lvlJc w:val="left"/>
      <w:pPr>
        <w:tabs>
          <w:tab w:val="num" w:pos="1080"/>
        </w:tabs>
        <w:ind w:left="1080" w:hanging="360"/>
      </w:pPr>
      <w:rPr>
        <w:rFonts w:ascii="Wingdings" w:eastAsia="Wingdings" w:hAnsi="Wingdings" w:cs="Wingdings" w:hint="default"/>
        <w:b w:val="0"/>
        <w:i w:val="0"/>
        <w:strike w:val="0"/>
        <w:color w:val="000000"/>
        <w:position w:val="0"/>
        <w:sz w:val="28"/>
        <w:u w:val="none"/>
        <w:shd w:val="clear" w:color="auto" w:fill="auto"/>
      </w:rPr>
    </w:lvl>
  </w:abstractNum>
  <w:abstractNum w:abstractNumId="1" w15:restartNumberingAfterBreak="0">
    <w:nsid w:val="7EE7438F"/>
    <w:multiLevelType w:val="singleLevel"/>
    <w:tmpl w:val="0F1E4170"/>
    <w:lvl w:ilvl="0">
      <w:start w:val="1"/>
      <w:numFmt w:val="bullet"/>
      <w:lvlText w:val=""/>
      <w:lvlJc w:val="left"/>
      <w:pPr>
        <w:tabs>
          <w:tab w:val="num" w:pos="1440"/>
        </w:tabs>
        <w:ind w:left="1440" w:hanging="360"/>
      </w:pPr>
      <w:rPr>
        <w:rFonts w:ascii="Wingdings" w:eastAsia="Wingdings" w:hAnsi="Wingdings" w:cs="Wingdings" w:hint="default"/>
        <w:b w:val="0"/>
        <w:i w:val="0"/>
        <w:strike w:val="0"/>
        <w:color w:val="000000"/>
        <w:position w:val="0"/>
        <w:sz w:val="28"/>
        <w:u w:val="none"/>
        <w:shd w:val="clear" w:color="auto" w:fil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8"/>
  <w:removePersonalInformation/>
  <w:defaultTabStop w:val="1134"/>
  <w:characterSpacingControl w:val="doNotCompress"/>
  <w:hdrShapeDefaults>
    <o:shapedefaults v:ext="edit" spidmax="2050"/>
  </w:hdrShapeDefault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Description" w:val="Use the checklist below to determine areas where you may need assistance in foreseeing and mitigating potential challenges that you may face as a result of buy and sell agreements."/>
    <w:docVar w:name="Excerpt" w:val="When entering into agreements and conducting businesses, it is likely that you will face challenges which may in some cases lead to disputes which can be expensive. The correct approach is to foresee such challenges and take relevant measures to prevent disputes from manifesting. Use the checklist below to determine areas where you may need assistance. Answer Yes or No to each question. _x000a_"/>
    <w:docVar w:name="Source" w:val="www.morebusiness.com"/>
    <w:docVar w:name="Tags" w:val="buy sell agreements, critical what ifs, document template, business documents, entrepreneurship, entrepreneur, buying and selling of shares, buy/sell agreements - critical what ifs example, buy/sell agreements - critical what ifs template"/>
  </w:docVars>
  <w:rsids>
    <w:rsidRoot w:val="004A6830"/>
    <w:rsid w:val="000B4BD5"/>
    <w:rsid w:val="001E2480"/>
    <w:rsid w:val="002B1845"/>
    <w:rsid w:val="004A6830"/>
    <w:rsid w:val="00747841"/>
    <w:rsid w:val="007F7674"/>
    <w:rsid w:val="0086198F"/>
    <w:rsid w:val="009308FA"/>
    <w:rsid w:val="00AB06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9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3">
    <w:name w:val="heading 3"/>
    <w:basedOn w:val="Normal"/>
    <w:uiPriority w:val="9"/>
    <w:semiHidden/>
    <w:unhideWhenUsed/>
    <w:qFormat/>
    <w:pPr>
      <w:outlineLvl w:val="2"/>
    </w:pPr>
    <w:rPr>
      <w:b/>
      <w:bCs/>
      <w:color w:val="00000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NormalWeb">
    <w:name w:val="Normal (Web)"/>
    <w:basedOn w:val="Normal"/>
    <w:qFormat/>
    <w:rPr>
      <w:color w:val="000000"/>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2006-08-14T16:29:00Z</dcterms:created>
  <dcterms:modified xsi:type="dcterms:W3CDTF">2022-03-20T13:48:00Z</dcterms:modified>
  <cp:category/>
</cp:coreProperties>
</file>