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infggralo4bo" w:id="0"/>
      <w:bookmarkEnd w:id="0"/>
      <w:r w:rsidDel="00000000" w:rsidR="00000000" w:rsidRPr="00000000">
        <w:rPr>
          <w:rFonts w:ascii="Montserrat" w:cs="Montserrat" w:eastAsia="Montserrat" w:hAnsi="Montserrat"/>
          <w:sz w:val="110"/>
          <w:szCs w:val="110"/>
          <w:rtl w:val="0"/>
        </w:rPr>
        <w:t xml:space="preserve">KEY PERFORMANCE INDICATORS FOR CHIEF LEGAL OFFICER (CLO)</w:t>
      </w:r>
    </w:p>
    <w:p w:rsidR="00000000" w:rsidDel="00000000" w:rsidP="00000000" w:rsidRDefault="00000000" w:rsidRPr="00000000" w14:paraId="00000002">
      <w:pPr>
        <w:pStyle w:val="Heading3"/>
        <w:rPr>
          <w:color w:val="000000"/>
        </w:rPr>
      </w:pPr>
      <w:bookmarkStart w:colFirst="0" w:colLast="0" w:name="_slzufab6jqwo"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rPr>
          <w:rFonts w:ascii="Roboto" w:cs="Roboto" w:eastAsia="Roboto" w:hAnsi="Roboto"/>
          <w:color w:val="000000"/>
        </w:rPr>
      </w:pPr>
      <w:bookmarkStart w:colFirst="0" w:colLast="0" w:name="_ule99vz1z38n" w:id="2"/>
      <w:bookmarkEnd w:id="2"/>
      <w:r w:rsidDel="00000000" w:rsidR="00000000" w:rsidRPr="00000000">
        <w:rPr>
          <w:rFonts w:ascii="Roboto" w:cs="Roboto" w:eastAsia="Roboto" w:hAnsi="Roboto"/>
          <w:color w:val="000000"/>
          <w:rtl w:val="0"/>
        </w:rPr>
        <w:t xml:space="preserve">1. Objective Overview</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The Chief Legal Officer (CLO) is a crucial part of the executive team. They provide legal guidance to the organization, ensure compliance with regulations, manage legal risk, and contribute to strategic decision-making. This document outlines the Key Performance Indicators (KPIs) for the CLO position, which will help quantify the performance and effectiveness of the role. These KPIs align with the organization's broader strategic goals and provide clear metrics for evaluation and improvement.</w:t>
      </w:r>
    </w:p>
    <w:p w:rsidR="00000000" w:rsidDel="00000000" w:rsidP="00000000" w:rsidRDefault="00000000" w:rsidRPr="00000000" w14:paraId="00000005">
      <w:pPr>
        <w:pStyle w:val="Heading3"/>
        <w:rPr>
          <w:rFonts w:ascii="Roboto" w:cs="Roboto" w:eastAsia="Roboto" w:hAnsi="Roboto"/>
          <w:color w:val="000000"/>
        </w:rPr>
      </w:pPr>
      <w:bookmarkStart w:colFirst="0" w:colLast="0" w:name="_uymra2o5yif7" w:id="3"/>
      <w:bookmarkEnd w:id="3"/>
      <w:r w:rsidDel="00000000" w:rsidR="00000000" w:rsidRPr="00000000">
        <w:rPr>
          <w:rFonts w:ascii="Roboto" w:cs="Roboto" w:eastAsia="Roboto" w:hAnsi="Roboto"/>
          <w:color w:val="000000"/>
          <w:rtl w:val="0"/>
        </w:rPr>
        <w:t xml:space="preserve">2. KPIs</w:t>
      </w:r>
    </w:p>
    <w:p w:rsidR="00000000" w:rsidDel="00000000" w:rsidP="00000000" w:rsidRDefault="00000000" w:rsidRPr="00000000" w14:paraId="00000006">
      <w:pPr>
        <w:pStyle w:val="Heading4"/>
        <w:rPr>
          <w:rFonts w:ascii="Roboto" w:cs="Roboto" w:eastAsia="Roboto" w:hAnsi="Roboto"/>
          <w:color w:val="000000"/>
        </w:rPr>
      </w:pPr>
      <w:bookmarkStart w:colFirst="0" w:colLast="0" w:name="_2ff8xxndxvfc" w:id="4"/>
      <w:bookmarkEnd w:id="4"/>
      <w:r w:rsidDel="00000000" w:rsidR="00000000" w:rsidRPr="00000000">
        <w:rPr>
          <w:rFonts w:ascii="Roboto" w:cs="Roboto" w:eastAsia="Roboto" w:hAnsi="Roboto"/>
          <w:color w:val="000000"/>
          <w:rtl w:val="0"/>
        </w:rPr>
        <w:t xml:space="preserve">KPI #1: Legal Risk Management</w:t>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The primary responsibility of the CLO is to manage legal risk. The KPI for this objective will measure the effectiveness of legal risk management strategies.</w:t>
      </w:r>
    </w:p>
    <w:p w:rsidR="00000000" w:rsidDel="00000000" w:rsidP="00000000" w:rsidRDefault="00000000" w:rsidRPr="00000000" w14:paraId="00000008">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Metric: Percentage of identified legal risks mitigated or resolved</w:t>
      </w:r>
    </w:p>
    <w:p w:rsidR="00000000" w:rsidDel="00000000" w:rsidP="00000000" w:rsidRDefault="00000000" w:rsidRPr="00000000" w14:paraId="00000009">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Target: 95%</w:t>
      </w:r>
    </w:p>
    <w:p w:rsidR="00000000" w:rsidDel="00000000" w:rsidP="00000000" w:rsidRDefault="00000000" w:rsidRPr="00000000" w14:paraId="0000000A">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Frequency: Quarterly</w:t>
      </w:r>
    </w:p>
    <w:p w:rsidR="00000000" w:rsidDel="00000000" w:rsidP="00000000" w:rsidRDefault="00000000" w:rsidRPr="00000000" w14:paraId="0000000B">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Data Source: Internal risk management system</w:t>
      </w:r>
    </w:p>
    <w:p w:rsidR="00000000" w:rsidDel="00000000" w:rsidP="00000000" w:rsidRDefault="00000000" w:rsidRPr="00000000" w14:paraId="0000000C">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Reporting: Legal and risk management team</w:t>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The data will be tracked and reviewed on a quarterly basis, and the results will be presented in the form of a risk management dashboard.</w:t>
      </w:r>
    </w:p>
    <w:p w:rsidR="00000000" w:rsidDel="00000000" w:rsidP="00000000" w:rsidRDefault="00000000" w:rsidRPr="00000000" w14:paraId="0000000E">
      <w:pPr>
        <w:pStyle w:val="Heading4"/>
        <w:rPr>
          <w:rFonts w:ascii="Roboto" w:cs="Roboto" w:eastAsia="Roboto" w:hAnsi="Roboto"/>
          <w:color w:val="000000"/>
        </w:rPr>
      </w:pPr>
      <w:bookmarkStart w:colFirst="0" w:colLast="0" w:name="_fdomh9qiwy8k" w:id="5"/>
      <w:bookmarkEnd w:id="5"/>
      <w:r w:rsidDel="00000000" w:rsidR="00000000" w:rsidRPr="00000000">
        <w:rPr>
          <w:rFonts w:ascii="Roboto" w:cs="Roboto" w:eastAsia="Roboto" w:hAnsi="Roboto"/>
          <w:color w:val="000000"/>
          <w:rtl w:val="0"/>
        </w:rPr>
        <w:t xml:space="preserve">KPI #2: Regulatory Compliance</w:t>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A key aspect of the CLO role is to ensure that the organization complies with all relevant laws and regulations. The compliance rate will serve as the KPI for this objective.</w:t>
      </w:r>
    </w:p>
    <w:p w:rsidR="00000000" w:rsidDel="00000000" w:rsidP="00000000" w:rsidRDefault="00000000" w:rsidRPr="00000000" w14:paraId="0000001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Metric: Rate of compliance with relevant regulations</w:t>
      </w:r>
    </w:p>
    <w:p w:rsidR="00000000" w:rsidDel="00000000" w:rsidP="00000000" w:rsidRDefault="00000000" w:rsidRPr="00000000" w14:paraId="0000001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Roboto" w:cs="Roboto" w:eastAsia="Roboto" w:hAnsi="Roboto"/>
        </w:rPr>
      </w:pPr>
      <w:bookmarkStart w:colFirst="0" w:colLast="0" w:name="_survzyrpgbko" w:id="6"/>
      <w:bookmarkEnd w:id="6"/>
      <w:r w:rsidDel="00000000" w:rsidR="00000000" w:rsidRPr="00000000">
        <w:rPr>
          <w:rFonts w:ascii="Roboto" w:cs="Roboto" w:eastAsia="Roboto" w:hAnsi="Roboto"/>
          <w:rtl w:val="0"/>
        </w:rPr>
        <w:t xml:space="preserve">Target: 100</w:t>
      </w:r>
      <w:r w:rsidDel="00000000" w:rsidR="00000000" w:rsidRPr="00000000">
        <w:rPr>
          <w:rFonts w:ascii="Roboto" w:cs="Roboto" w:eastAsia="Roboto" w:hAnsi="Roboto"/>
          <w:sz w:val="28"/>
          <w:szCs w:val="28"/>
          <w:rtl w:val="0"/>
        </w:rPr>
        <w:t xml:space="preserve">%</w:t>
      </w:r>
      <w:r w:rsidDel="00000000" w:rsidR="00000000" w:rsidRPr="00000000">
        <w:rPr>
          <w:rtl w:val="0"/>
        </w:rPr>
      </w:r>
    </w:p>
    <w:p w:rsidR="00000000" w:rsidDel="00000000" w:rsidP="00000000" w:rsidRDefault="00000000" w:rsidRPr="00000000" w14:paraId="00000012">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Frequency: Annually</w:t>
      </w:r>
    </w:p>
    <w:p w:rsidR="00000000" w:rsidDel="00000000" w:rsidP="00000000" w:rsidRDefault="00000000" w:rsidRPr="00000000" w14:paraId="00000013">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Data Source: Compliance audits, regulatory agency reports</w:t>
      </w:r>
    </w:p>
    <w:p w:rsidR="00000000" w:rsidDel="00000000" w:rsidP="00000000" w:rsidRDefault="00000000" w:rsidRPr="00000000" w14:paraId="00000014">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Reporting: Compliance team</w:t>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Annual audits will provide data for this KPI. The goal is full compliance, but any deviation will require immediate action.</w:t>
      </w:r>
    </w:p>
    <w:p w:rsidR="00000000" w:rsidDel="00000000" w:rsidP="00000000" w:rsidRDefault="00000000" w:rsidRPr="00000000" w14:paraId="00000016">
      <w:pPr>
        <w:pStyle w:val="Heading4"/>
        <w:rPr>
          <w:rFonts w:ascii="Roboto" w:cs="Roboto" w:eastAsia="Roboto" w:hAnsi="Roboto"/>
          <w:color w:val="000000"/>
        </w:rPr>
      </w:pPr>
      <w:bookmarkStart w:colFirst="0" w:colLast="0" w:name="_c87cweljlco0" w:id="7"/>
      <w:bookmarkEnd w:id="7"/>
      <w:r w:rsidDel="00000000" w:rsidR="00000000" w:rsidRPr="00000000">
        <w:rPr>
          <w:rFonts w:ascii="Roboto" w:cs="Roboto" w:eastAsia="Roboto" w:hAnsi="Roboto"/>
          <w:color w:val="000000"/>
          <w:rtl w:val="0"/>
        </w:rPr>
        <w:t xml:space="preserve">KPI #3: Contract Management</w:t>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The CLO oversees the management of all contracts. The efficiency of this process will be quantified through the contract turnaround time.</w:t>
      </w:r>
    </w:p>
    <w:p w:rsidR="00000000" w:rsidDel="00000000" w:rsidP="00000000" w:rsidRDefault="00000000" w:rsidRPr="00000000" w14:paraId="00000018">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Metric: Average contract turnaround time</w:t>
      </w:r>
    </w:p>
    <w:p w:rsidR="00000000" w:rsidDel="00000000" w:rsidP="00000000" w:rsidRDefault="00000000" w:rsidRPr="00000000" w14:paraId="00000019">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Target: 10 days or less</w:t>
      </w:r>
    </w:p>
    <w:p w:rsidR="00000000" w:rsidDel="00000000" w:rsidP="00000000" w:rsidRDefault="00000000" w:rsidRPr="00000000" w14:paraId="0000001A">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Frequency: Monthly</w:t>
      </w:r>
    </w:p>
    <w:p w:rsidR="00000000" w:rsidDel="00000000" w:rsidP="00000000" w:rsidRDefault="00000000" w:rsidRPr="00000000" w14:paraId="0000001B">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Data Source: Contract management system</w:t>
      </w:r>
    </w:p>
    <w:p w:rsidR="00000000" w:rsidDel="00000000" w:rsidP="00000000" w:rsidRDefault="00000000" w:rsidRPr="00000000" w14:paraId="0000001C">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Reporting: Legal team</w:t>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rtl w:val="0"/>
        </w:rPr>
        <w:t xml:space="preserve">The turnaround time is the period from the initiation of a contract request to its final approval. Data for this KPI will be pulled from the contract management system on a monthly basis.</w:t>
      </w:r>
    </w:p>
    <w:p w:rsidR="00000000" w:rsidDel="00000000" w:rsidP="00000000" w:rsidRDefault="00000000" w:rsidRPr="00000000" w14:paraId="0000001E">
      <w:pPr>
        <w:pStyle w:val="Heading4"/>
        <w:rPr>
          <w:rFonts w:ascii="Roboto" w:cs="Roboto" w:eastAsia="Roboto" w:hAnsi="Roboto"/>
          <w:color w:val="000000"/>
        </w:rPr>
      </w:pPr>
      <w:bookmarkStart w:colFirst="0" w:colLast="0" w:name="_f8eegukjyeem" w:id="8"/>
      <w:bookmarkEnd w:id="8"/>
      <w:r w:rsidDel="00000000" w:rsidR="00000000" w:rsidRPr="00000000">
        <w:rPr>
          <w:rFonts w:ascii="Roboto" w:cs="Roboto" w:eastAsia="Roboto" w:hAnsi="Roboto"/>
          <w:color w:val="000000"/>
          <w:rtl w:val="0"/>
        </w:rPr>
        <w:t xml:space="preserve">KPI #4: Litigation Success</w:t>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This KPI will measure the effectiveness of the legal department in managing litigation.</w:t>
      </w:r>
    </w:p>
    <w:p w:rsidR="00000000" w:rsidDel="00000000" w:rsidP="00000000" w:rsidRDefault="00000000" w:rsidRPr="00000000" w14:paraId="00000020">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Metric: Percentage of litigation cases won or favorably settled</w:t>
      </w:r>
    </w:p>
    <w:p w:rsidR="00000000" w:rsidDel="00000000" w:rsidP="00000000" w:rsidRDefault="00000000" w:rsidRPr="00000000" w14:paraId="00000021">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Target: 80%</w:t>
      </w:r>
    </w:p>
    <w:p w:rsidR="00000000" w:rsidDel="00000000" w:rsidP="00000000" w:rsidRDefault="00000000" w:rsidRPr="00000000" w14:paraId="00000022">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Frequency: Annually</w:t>
      </w:r>
    </w:p>
    <w:p w:rsidR="00000000" w:rsidDel="00000000" w:rsidP="00000000" w:rsidRDefault="00000000" w:rsidRPr="00000000" w14:paraId="00000023">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Data Source: Case management system</w:t>
      </w:r>
    </w:p>
    <w:p w:rsidR="00000000" w:rsidDel="00000000" w:rsidP="00000000" w:rsidRDefault="00000000" w:rsidRPr="00000000" w14:paraId="00000024">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Reporting: Legal team</w:t>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While the goal is to minimize litigation, when it occurs, the objective is a positive outcome for the organization.</w:t>
      </w:r>
    </w:p>
    <w:p w:rsidR="00000000" w:rsidDel="00000000" w:rsidP="00000000" w:rsidRDefault="00000000" w:rsidRPr="00000000" w14:paraId="00000026">
      <w:pPr>
        <w:pStyle w:val="Heading3"/>
        <w:rPr>
          <w:rFonts w:ascii="Roboto" w:cs="Roboto" w:eastAsia="Roboto" w:hAnsi="Roboto"/>
          <w:color w:val="000000"/>
        </w:rPr>
      </w:pPr>
      <w:bookmarkStart w:colFirst="0" w:colLast="0" w:name="_szarpo3ltjl8" w:id="9"/>
      <w:bookmarkEnd w:id="9"/>
      <w:r w:rsidDel="00000000" w:rsidR="00000000" w:rsidRPr="00000000">
        <w:rPr>
          <w:rFonts w:ascii="Roboto" w:cs="Roboto" w:eastAsia="Roboto" w:hAnsi="Roboto"/>
          <w:color w:val="000000"/>
          <w:rtl w:val="0"/>
        </w:rPr>
        <w:t xml:space="preserve">3. Reporting and Review</w:t>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Each KPI will be tracked and reported as per the defined frequency. Reporting will take the form of a dashboard, providing visual representations of each KPI and highlighting whether targets have been met. Reports will be shared with the executive team and key stakeholders.</w:t>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The CLO will conduct a formal review of the KPIs annually, or as needed. This review will evaluate whether the KPIs are still aligned with the organization's goals, whether the targets are appropriate, and whether any changes are needed in the data collection or calculation processes.</w:t>
      </w:r>
    </w:p>
    <w:p w:rsidR="00000000" w:rsidDel="00000000" w:rsidP="00000000" w:rsidRDefault="00000000" w:rsidRPr="00000000" w14:paraId="00000029">
      <w:pPr>
        <w:pStyle w:val="Heading3"/>
        <w:rPr>
          <w:rFonts w:ascii="Roboto" w:cs="Roboto" w:eastAsia="Roboto" w:hAnsi="Roboto"/>
          <w:color w:val="000000"/>
        </w:rPr>
      </w:pPr>
      <w:bookmarkStart w:colFirst="0" w:colLast="0" w:name="_k196ws6qo0r6" w:id="10"/>
      <w:bookmarkEnd w:id="10"/>
      <w:r w:rsidDel="00000000" w:rsidR="00000000" w:rsidRPr="00000000">
        <w:rPr>
          <w:rFonts w:ascii="Roboto" w:cs="Roboto" w:eastAsia="Roboto" w:hAnsi="Roboto"/>
          <w:color w:val="000000"/>
          <w:rtl w:val="0"/>
        </w:rPr>
        <w:t xml:space="preserve">4. Action Plan</w:t>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In cases where KPI targets are not met, an action plan will be implemented. This could involve additional training, changes in procedures, or other corrective actions, depending on the nature of the deviation. The CLO will be responsible for overseeing the implementation of these action plans.</w:t>
      </w:r>
    </w:p>
    <w:p w:rsidR="00000000" w:rsidDel="00000000" w:rsidP="00000000" w:rsidRDefault="00000000" w:rsidRPr="00000000" w14:paraId="0000002B">
      <w:pPr>
        <w:pStyle w:val="Heading3"/>
        <w:rPr>
          <w:rFonts w:ascii="Roboto" w:cs="Roboto" w:eastAsia="Roboto" w:hAnsi="Roboto"/>
          <w:color w:val="000000"/>
        </w:rPr>
      </w:pPr>
      <w:bookmarkStart w:colFirst="0" w:colLast="0" w:name="_n7plk2llcfa8" w:id="11"/>
      <w:bookmarkEnd w:id="11"/>
      <w:r w:rsidDel="00000000" w:rsidR="00000000" w:rsidRPr="00000000">
        <w:rPr>
          <w:rFonts w:ascii="Roboto" w:cs="Roboto" w:eastAsia="Roboto" w:hAnsi="Roboto"/>
          <w:color w:val="000000"/>
          <w:rtl w:val="0"/>
        </w:rPr>
        <w:t xml:space="preserve">5. Conclusion</w:t>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These KPIs provide a clear and quantifiable method for assessing the performance of the CLO role. They align with the strategic objectives of the organization and provide actionable insights that can drive continuous improvement in legal operations. It is important to note that KPIs are tools for assessment and not the end goal. The primary objective remains the effective management of the organization's legal affairs.</w:t>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