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1n8awbb1mbbj" w:id="0"/>
      <w:bookmarkEnd w:id="0"/>
      <w:r w:rsidDel="00000000" w:rsidR="00000000" w:rsidRPr="00000000">
        <w:rPr>
          <w:rFonts w:ascii="Montserrat" w:cs="Montserrat" w:eastAsia="Montserrat" w:hAnsi="Montserrat"/>
          <w:sz w:val="110"/>
          <w:szCs w:val="110"/>
          <w:rtl w:val="0"/>
        </w:rPr>
        <w:t xml:space="preserve">KEY PERFORMANCE INDICATORS FOR CHIEF FINANCIAL OFFICER (CFO)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Return on Investment (ROI)</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 :</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monitoring the ROI is to understand the efficiency and profitability of investments made by the company. It helps in making informed decisions about allocating resources for future investments, identifying profitable projects, and understanding where improvements are needed. The higher the ROI, the better the investment is considered.</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 :</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ROI is calculated by dividing the net profit from an investment by the cost of the investment, and then multiplying the result by 100 to get a percentage. It is usually expressed as a percentage and is used for personal financial decisions, to compare a company's profitability or to compare the efficiency of different investments.</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 :</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ROI calculations would come from the company's financial statements, particularly the income statement and balance sheet, which detail profits and costs respectively.</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sz w:val="28"/>
          <w:szCs w:val="28"/>
          <w:rtl w:val="0"/>
        </w:rPr>
        <w:t xml:space="preserve">4. Frequency of Measurement</w:t>
      </w:r>
      <w:r w:rsidDel="00000000" w:rsidR="00000000" w:rsidRPr="00000000">
        <w:rPr>
          <w:rFonts w:ascii="Roboto" w:cs="Roboto" w:eastAsia="Roboto" w:hAnsi="Roboto"/>
          <w:rtl w:val="0"/>
        </w:rPr>
        <w:t xml:space="preserve"> :</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ROI is usually calculated annually for financial reporting. However, it could also be calculated after the completion of a project or investment.</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 :</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finance department, under the leadership of the CFO, is responsible for calculating the ROI.</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ROI would be the targeted ROI that was initially forecasted for the investment or project. This allows for comparisons between the expected and actual ROI.</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 :</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ROI varies by industry, market conditions, and company strategy. However, in general, a higher ROI percentage is desired as it indicates a more profitable investment.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 :</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higher ROI indicates that the returns on an investment are greater than the cost. An ROI of 100% means that the return is twice the total cost. Conversely, an ROI of -10% would mean a net loss. ROI should always be used in conjunction with other metrics for a complete financial analysis.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 :</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ROI results should be included in the CFO's financial report, which is typically shared with the CEO, board of directors, and other key stakeholders. This can be represented in the form of charts or graphs to aid in understanding.</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 :</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the ROI is less than the target value or shows a downward trend, action should be taken. This could involve reviewing the cost structure, increasing prices, expanding the market, or improving product quality. The specific actions will depend on the nature of the business and the reasons for the low ROI.</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 :</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Risks include market volatility, poor investment decisions, and operational risks. The calculation of ROI assumes that all financial data is accurate and that the investment is the sole reason for the change in profit.</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 :</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ROI is directly influenced by other KPIs such as net profit margin, operating costs, and revenue growth.</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 :</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ROI aligns with the strategic goals of maximizing profitability and efficient use of resources. By improving ROI, the company moves closer to these goals.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data used for this KPI comes directly from the company's financial statements, which are prepared according to established accounting principles, ensuring high data quality.</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 :</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Historical trends of ROI can be analyzed to understand the past performance of investments and to guide future investment decisions.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 :</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Industry benchmarks can be used to compare the company's ROI with average ROI in the industry.</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 :</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this KPI include the CEO, board of directors, shareholders, and potential investors.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 :</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 ROI can attract investors and increase share price, while a low ROI can signal financial problems and deter investment.</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 :</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ROI calculation can be automated through financial management software, which can collect relevant data and perform calculations.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20. Validation Process :</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finance department should cross-check the financial data used for the calculation to ensure its accuracy.</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 :</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The review cycle for ROI would typically be annual, following the release of the yearly financial statements. However, ROI may also be calculated and reviewed after the completion of individual projects or investments.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