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rng765plbz29" w:id="0"/>
      <w:bookmarkEnd w:id="0"/>
      <w:r w:rsidDel="00000000" w:rsidR="00000000" w:rsidRPr="00000000">
        <w:rPr>
          <w:rFonts w:ascii="Montserrat" w:cs="Montserrat" w:eastAsia="Montserrat" w:hAnsi="Montserrat"/>
          <w:sz w:val="110"/>
          <w:szCs w:val="110"/>
          <w:rtl w:val="0"/>
        </w:rPr>
        <w:t xml:space="preserve">KEY PERFORMANCE INDICATORS FOR CHIEF HUMAN RESOURCES OFFICER (CHRO)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Employee Turnover Rate (ETR)</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 :</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goal of tracking ETR is to understand the rate at which the organisation is losing its employees. High turnover can be costly due to the direct and indirect costs of hiring and training new employees. It can also indicate issues with employee satisfaction, management effectiveness, or organisational culture.</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 :</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ETR is calculated by dividing the number of employees who left the organisation during a specified period by the average number of employees during that period, then multiplying the result by 100 to get a percentage.</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 :</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for ETR comes from HR records and databases which keep track of employee hires and departures.</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 :</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ETR should be calculated and reviewed monthly, quarterly, and annually to monitor trends and impacts of HR initiatives.</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 :</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HR department, under the CHRO, is responsible for calculating and analyzing ETR.</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 :</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baseline for ETR could be established based on industry standards, or the organization's historical data.</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 :</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Target values will depend on industry averages and the organisation's historical performance, with the aim being to minimise ETR as much as possible.</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 :</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 higher ETR may indicate issues such as low employee satisfaction or ineffective management. It's crucial to investigate the reasons behind departures to provide actionable insights.</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 :</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ETR should be reported to the executive team and other stakeholders regularly, and can be visualized on a dashboard.</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 :</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Actions may include enhancing employee engagement, revising compensation and benefits, or improving workplace culture. Retention strategies should be tailored based on the reasons for departures.</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 :</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Risks include loss of talent and the costs associated with turnover. Assumptions include accurate record keeping and that departures are voluntary.</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 :</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ETR can depend on a range of factors such as employee engagement, organisational culture, compensation and benefits, and career development opportunities.</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 :</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Managing ETR aligns with strategic goals related to talent management, employee satisfaction, organisational culture, and financial performance.</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 :</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quality is ensured by meticulous HR record-keeping, including accurate tracking of hires and departures.</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 :</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Historical ETR data can highlight trends, seasonal variations, and the impact of any interventions on turnover.</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 :</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Benchmarks can be industry averages or targets based on the organization's strategic goals and capacity.</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 :</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include the executive team, managers, and all employees.</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ETR impacts talent management, employee morale, and the bottom line due to the costs associated with hiring and training replacements.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 :</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HR Information Systems (HRIS) can automate the tracking and calculation of ETR.</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 :</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Validation involves cross-checking HR records and ensuring all departures are accurately captured.</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 :</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ETR should be reviewed regularly to monitor trends, evaluate the success of retention strategies, and make necessary adjustments.</w:t>
      </w:r>
    </w:p>
    <w:p w:rsidR="00000000" w:rsidDel="00000000" w:rsidP="00000000" w:rsidRDefault="00000000" w:rsidRPr="00000000" w14:paraId="00000030">
      <w:pPr>
        <w:spacing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