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1n8awbb1mbbj" w:id="0"/>
      <w:bookmarkEnd w:id="0"/>
      <w:r w:rsidDel="00000000" w:rsidR="00000000" w:rsidRPr="00000000">
        <w:rPr>
          <w:rFonts w:ascii="Montserrat" w:cs="Montserrat" w:eastAsia="Montserrat" w:hAnsi="Montserrat"/>
          <w:sz w:val="110"/>
          <w:szCs w:val="110"/>
          <w:rtl w:val="0"/>
        </w:rPr>
        <w:t xml:space="preserve">KEY PERFORMANCE INDICATORS FOR CHIEF MARKETING OFFICER (CMO)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Customer Acquisition Cost (CAC)</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 :</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monitoring CAC is to understand the cost-effectiveness of the marketing strategies employed by the company to attract and convert new customers. A lower CAC is generally more favourable as it signifies a more cost-effective strategy. This KPI directly relates to the company's profitability and growth potential.</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 :</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is calculated by dividing the total costs spent on acquiring more customers (marketing expenses) by the number of customers acquired in the period the money was spent.</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 :</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for CAC comes from the marketing budget (expenses) and the sales data (number of customers acquired).</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 :</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should be calculated on a monthly basis to align with typical accounting periods and allow for adjustments in strategy.</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 :</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marketing department, under the leadership of the CMO, is responsible for calculating CAC.</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 :</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CAC can be calculated based on historical data. This can help identify trends and guide improvements in marketing strategy.</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 :  </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CAC can vary significantly depending on the industry, the business model, and the company's growth stage. However, the general aim is to keep CAC as low as possible while maximising customer value.</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 :</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lower CAC indicates a more efficient customer acquisition process. However, CAC should not be analysed in isolation but considered in relation to Customer Lifetime Value (CLTV) to assess the overall profitability of customer acquisition efforts.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 :</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CAC results should be included in the regular marketing reports, which are usually shared with the executive team and other stakeholders. A CAC graph over time can be useful to visualise the trend.</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 :</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Improvement actions might include optimising marketing campaigns, improving targeting, investing in more cost-effective acquisition channels, or improving the sales conversion rate.</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 :</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Risks include changes in marketing costs, customer behaviour, or competitive actions. The calculation of CAC assumes that all acquired customers are attributable to the marketing efforts.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depends on factors such as marketing spend, sales effectiveness, pricing strategy, and product appeal.</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 :</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directly aligns with the strategic goal of profitable growth. By optimising CAC, the company can achieve sustainable growth and profitability.</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 :</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used for CAC comes directly from financial and sales data, ensuring a high level of data quality.</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Visualisation :</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can be visualised using a line graph showing CAC over time, helping to identify trends and assess the effectiveness of marketing efforts.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Historical Trend Analysis :</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Historical trends can help identify the impact of specific marketing initiatives on CAC and guide future investments.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Benchmarks :</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Industry benchmarks for CAC can provide a useful reference point to assess the company's performance.</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Stakeholders :</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include the marketing team, sales team, the finance department, the CEO, and investors.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Impact of KPI :</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directly impacts profitability, growth, and investor appeal. By reducing CAC, the company can improve profitability and attract more investment.</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Automation Processes :</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CAC calculation can be automated with the help of marketing analytics tools and CRM systems.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Validation Process :</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CAC involves cross-checking marketing expense data and sales data for accuracy.</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22. Review Cycle :</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CAC should be reviewed on a monthly basis to identify trends and make necessary adjustments in marketing strategy.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