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rFonts w:ascii="Montserrat" w:cs="Montserrat" w:eastAsia="Montserrat" w:hAnsi="Montserrat"/>
          <w:sz w:val="110"/>
          <w:szCs w:val="110"/>
        </w:rPr>
      </w:pPr>
      <w:bookmarkStart w:colFirst="0" w:colLast="0" w:name="_1eh2fufdrurn" w:id="0"/>
      <w:bookmarkEnd w:id="0"/>
      <w:r w:rsidDel="00000000" w:rsidR="00000000" w:rsidRPr="00000000">
        <w:rPr>
          <w:rFonts w:ascii="Montserrat" w:cs="Montserrat" w:eastAsia="Montserrat" w:hAnsi="Montserrat"/>
          <w:sz w:val="110"/>
          <w:szCs w:val="110"/>
          <w:rtl w:val="0"/>
        </w:rPr>
        <w:t xml:space="preserve">KEY PERFORMANCE INDICATORS FOR COMPLIANCE OFFICER (CO)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KPI: Compliance Adherence Rate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1. Objective/Goal: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objective of tracking Compliance Adherence Rate is to measure the effectiveness of the Compliance Officer in ensuring adherence to regulatory requirements, internal policies, and industry standards within the organization.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2. Formula/Calculation Method: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Compliance Adherence Rate is calculated by dividing the number of compliance breaches or violations identified within a specified period by the total number of compliance checks or audits conducted, and then multiplying by 100 to get a percentage.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3. Data Source: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Data is sourced from compliance audit reports, incident reports, self-assessments, internal control assessments, and direct reporting by the Compliance Officer.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4. Frequency of Measurement: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KPI is typically measured on a quarterly or annual basis, depending on the organization's compliance cycle and reporting requirements.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5. Owner/Responsible Party: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Compliance Officer is the primary owner of this KPI, with oversight from the Compliance Manager, Legal Department, or Executive Leadership.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6. Baseline Measurement: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baseline measurement is established based on historical compliance adherence rates within the organization, industry standards, or regulatory benchmarks.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7. Target Value: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target value for Compliance Adherence Rate is typically set close to 100% to reflect a high level of compliance with regulations, policies, and standards.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8. Interpretation Guidelines: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Higher Compliance Adherence Rates indicate strong compliance practices, while lower rates may suggest weaknesses in compliance controls, training needs, or gaps in policy implementation.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9. Reporting Method: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Compliance Adherence Rates are reported through compliance audit reports, compliance dashboards, and during compliance meetings or management reviews.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10. Action Plan for Improvement: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Compliance Adherence Rates fall below the target, action steps might include revising compliance policies and procedures, enhancing training and education programs, implementing stronger controls, or conducting targeted compliance audits.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11. Risks and Assumptions: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KPI assumes that compliance breaches or violations are accurately identified and reported. Risks include underreporting of incidents, insufficient compliance controls, or external factors impacting compliance practices.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12. Dependencies: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Compliance Adherence Rate depends on the effectiveness of compliance policies and procedures, employee training and awareness, management commitment, and the Compliance Officer's ability to monitor and enforce compliance.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13. Alignment with Strategic Goals: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High Compliance Adherence Rates align with strategic goals related to risk management, legal compliance, reputation protection, and maintaining stakeholder trust.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14. Data Quality Description: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Data for this KPI comes from reliable sources such as compliance audit reports, incident reports, and self-assessments, ensuring accuracy, consistency, and relevance.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15. Historical Trend Analysis: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Analyzing trends in Compliance Adherence Rates over time provides insights into the effectiveness of compliance initiatives, changes in compliance practices, or areas requiring additional attention.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16. Benchmarks: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Comparing Compliance Adherence Rates to industry benchmarks or regulatory requirements provides context and highlights areas for improvement or potential risks.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17. Stakeholders: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Stakeholders for this KPI include the Compliance Officer, Compliance Manager, Legal Department, Executive Leadership, Internal Audit, and any departments or teams involved in compliance-related activities.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18. Impact of KPI: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Compliance Adherence Rates directly impact the organization's risk profile, legal compliance, reputation, stakeholder confidence, and ability to operate within regulatory boundaries.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19. Automation Processes: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Automation can support data collection and reporting through compliance management systems, incident tracking tools, or audit management software.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20. Validation Process: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Validation involves verifying the accuracy of compliance breach or violation reports, evaluating the effectiveness of compliance controls, and ensuring data integrity throughout the compliance reporting process.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21. Review Cycle: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Compliance Adherence Rates should be reviewed regularly, typically on a quarterly or annual basis, to assess the effectiveness of compliance efforts, identify areas for improvement, and ensure ongoing adherence to regulatory requirements and internal policies.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