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s9izai51x2g9" w:id="0"/>
      <w:bookmarkEnd w:id="0"/>
      <w:r w:rsidDel="00000000" w:rsidR="00000000" w:rsidRPr="00000000">
        <w:rPr>
          <w:rFonts w:ascii="Montserrat" w:cs="Montserrat" w:eastAsia="Montserrat" w:hAnsi="Montserrat"/>
          <w:sz w:val="110"/>
          <w:szCs w:val="110"/>
          <w:rtl w:val="0"/>
        </w:rPr>
        <w:t xml:space="preserve">KEY PERFORMANCE INDICATORS FOR GRAPHIC DESIGNER (GD)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Design Quality Rating</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Design Quality Rating is to assess the effectiveness and creativity of the Graphic Designer in delivering high-quality designs that meet client expectations and align with the organization's brand identity.</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Quality Rating is determined through subjective evaluations, such as client feedback, peer reviews, or internal assessments, using a rating scale or qualitative assessments.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client feedback surveys, design review meetings, project evaluations, and direct reporting by the Graphic Designer.</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at the completion of each design project or in regular design performance evaluations, depending on the organization's design workflow.</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Graphic Designer is the primary owner of this KPI, with input from clients, creative directors, and design team leaders.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design quality ratings within the organization or industry standards.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Design Quality Rating is typically set high, aiming for consistent positive ratings and client satisfaction with the quality of design work.</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 design quality ratings indicate successful execution of design projects and effective communication of the organization's brand. Lower ratings may highlight areas for improvement in design skills, creativity, or client understanding.</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Quality Ratings are reported through design project evaluations, creative team meetings, or performance assessments, and may also be shared with clients to showcase the designer's performance.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Design Quality Ratings fall below the target, action steps might include professional development, attending design workshops or conferences, receiving feedback and mentoring from senior designers, or exploring new design trends and techniques.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assumes that design quality ratings are accurately captured and reflect the overall perception of design quality. Risks include subjective assessments, varying client preferences, or external factors impacting design outcomes.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Quality Rating depends on the Graphic Designer's skills, creativity, collaboration with clients and stakeholders, and access to design resources and tools.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 Design Quality Ratings align with strategic goals related to brand perception, user experience, visual identity, and creative excellence.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this KPI comes from reliable sources such as client feedback surveys or design evaluation processes, ensuring accuracy and relevance.</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trends in Design Quality Ratings over time provides insights into the Graphic Designer's growth, the effectiveness of training programs, the impact of design process improvements, or changes in design standards.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Design Quality Ratings to industry benchmarks or competitor performance can provide context and identify areas for improvement or potential market differentiation.</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this KPI include the Graphic Designer, Creative Directors, Design Team Leaders, clients, and other departments or teams impacted by the quality of design work.</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Quality Ratings directly impact the perception of the organization's brand, user engagement, customer satisfaction, and the effectiveness of visual communication.</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can support the collection of client feedback through online surveys or feedback management systems, streamlining the process of capturing design quality ratings.</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involves verifying the credibility and reliability of design quality ratings through multiple sources, such as client feedback, design team assessments, or peer reviews.</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Quality Ratings should be reviewed regularly, typically after the completion of design projects or in performance evaluations, to assess design effectiveness, identify areas of improvement, and ensure ongoing growth and development of design skills.</w:t>
      </w:r>
    </w:p>
    <w:p w:rsidR="00000000" w:rsidDel="00000000" w:rsidP="00000000" w:rsidRDefault="00000000" w:rsidRPr="00000000" w14:paraId="00000040">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