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ux2iivp0qz0b" w:id="0"/>
      <w:bookmarkEnd w:id="0"/>
      <w:r w:rsidDel="00000000" w:rsidR="00000000" w:rsidRPr="00000000">
        <w:rPr>
          <w:rFonts w:ascii="Montserrat" w:cs="Montserrat" w:eastAsia="Montserrat" w:hAnsi="Montserrat"/>
          <w:sz w:val="110"/>
          <w:szCs w:val="110"/>
          <w:rtl w:val="0"/>
        </w:rPr>
        <w:t xml:space="preserve">KEY PERFORMANCE INDICATORS FOR SOCIAL MEDIA MANAGER (SMM)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Engagement Rate</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Engagement Rate is to evaluate the effectiveness of the Social Media Manager in fostering meaningful interactions with the target audience, building brand awareness, and driving engagement on social media platforms.</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Engagement Rate is calculated by dividing the total number of likes, comments, and shares on social media posts by the total number of followers or reach, and then multiplying by 100 to get a percentage.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social media analytics platforms, native social media insights, and direct reporting by the Social Media Manager.</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 weekly or monthly basis, depending on the organization's social media activity and reporting cycle.</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Social Media Manager is the primary owner of this KPI, with oversight from the Marketing Manager or Digital Marketing Director.</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is established based on historical engagement rates within the organization or industry benchmarks.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Engagement Rate is typically set based on industry benchmarks, previous performance, or the organization's social media objectives. Higher engagement rates are generally preferred.</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Higher Engagement Rates suggest successful social media content and community management, while lower rates may indicate the need for adjustments in content strategy, targeting, or community engagement tactics.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Engagement Rates are reported through social media analytics reports, performance dashboards, and during marketing or social media team meetings.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Engagement Rates fall below the target, action steps might include content optimization, audience targeting refinement, community engagement initiatives, influencer collaborations, or exploring new social media platforms.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assumes that engagement metrics are accurately recorded and that the engagement levels reflect the actual interactions and interest of the target audience. Risks include changes in platform algorithms, audience behavior, or external factors impacting engagement.</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Engagement Rate depends on effective content creation, community management, audience targeting, social media ad campaigns, and the Social Media Manager's skills in fostering meaningful interactions.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 Engagement Rates align with strategic goals related to brand visibility, customer engagement, lead generation, customer satisfaction, and brand loyalty.</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this KPI comes directly from social media platforms, ensuring accuracy, consistency, and relevance.</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Analyzing trends in Engagement Rates over time provides insights into the impact of content strategies, changes in social media algorithms, audience behavior, or the effectiveness of engagement tactics.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Comparing Engagement Rates to industry benchmarks or competitor performance provides context and identifies areas for improvement or potential competitive advantages.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this KPI include the Social Media Manager, Marketing Manager, Digital Marketing Director, executive leadership, and any departments or teams impacted by social media engagement.</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Engagement Rates directly impact brand visibility, customer relationships, audience perception, social media ROI, and overall marketing effectiveness.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can support data collection and reporting through social media analytics tools that provide real-time engagement metrics and insights.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involves ensuring the accuracy of engagement metrics, verifying data integrity, and aligning social media analytics with actual interactions and audience behavior.</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Engagement Rates should be reviewed regularly, typically on a weekly or monthly basis, to assess social media performance, identify trends, and make adjustments to content strategies and engagement tactics accordingly.</w:t>
      </w:r>
    </w:p>
    <w:p w:rsidR="00000000" w:rsidDel="00000000" w:rsidP="00000000" w:rsidRDefault="00000000" w:rsidRPr="00000000" w14:paraId="00000036">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