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ОРГАНИЗАЦИЯ САМОСТОЯТЕЛЬНОЙ РАБОТЫ СТУДЕНТОВ В ЦИФРОВОЙ СРЕДЕ (образец, синтетический текст)</w:t>
      </w:r>
    </w:p>
    <w:p>
      <w:r>
        <w:br w:type="page"/>
      </w:r>
    </w:p>
    <w:p>
      <w:pPr>
        <w:pStyle w:val="Heading1"/>
      </w:pPr>
      <w:r>
        <w:t>АННОТАЦИЯ</w:t>
      </w:r>
    </w:p>
    <w:p>
      <w:r>
        <w:t>В образце рассматриваются результаты анкетирования 412 студентов трёх вузов Ташкента, проведённого в 2021–2023 гг., и влияние цифровых платформ на выполнение самостоятельной работы.</w:t>
      </w:r>
    </w:p>
    <w:p>
      <w:r>
        <w:t>Ключевые слова: самостоятельная работа, цифровая платформа, Moodle, оценивание.</w:t>
      </w:r>
    </w:p>
    <w:p>
      <w:r>
        <w:br w:type="page"/>
      </w:r>
    </w:p>
    <w:p>
      <w:pPr>
        <w:pStyle w:val="Heading1"/>
      </w:pPr>
      <w:r>
        <w:t>ВВЕДЕНИЕ</w:t>
      </w:r>
    </w:p>
    <w:p>
      <w:r>
        <w:t>На самостоятельную работу по учебному плану отводится почти 40% общей нагрузки, однако на практике эти часы часто остаются без контроля. Осенью 2022 г. из 18 наблюдаемых групп лишь в 7 задания проверялись в срок. В остальных преподаватели принимали работы разом, накануне итогового контроля. Как отмечает А. Каримов [3, с. 45], это превращает самостоятельную работу в формальность. Почему так происходит? Первая причина – нагрузка: на одного доцента приходится в среднем 96 студентов. Вторая – техническая: до 2021 г. система Moodle работала только на двух факультетах.</w:t>
      </w:r>
    </w:p>
    <w:p>
      <w:r>
        <w:t>У исследования есть ограничения. Выборка охватывает только ташкентские вузы, а в регионах качество интернета может быть иным. Кроме того, группы формировались не случайно: преподаватели, внедрившие платформу, вероятно, изначально были активнее. Поэтому обобщать выводы следует осторожно. На следующем этапе планируется добавить два университета в Самарканде и Нукусе и применить квазиэкспериментальный дизайн.</w:t>
      </w:r>
    </w:p>
    <w:p>
      <w:r>
        <w:br w:type="page"/>
      </w:r>
    </w:p>
    <w:p>
      <w:pPr>
        <w:pStyle w:val="Heading1"/>
      </w:pPr>
      <w:r>
        <w:t>ГЛАВА I. ТЕОРЕТИЧЕСКИЕ ОСНОВЫ САМОСТОЯТЕЛЬНОЙ РАБОТЫ</w:t>
      </w:r>
    </w:p>
    <w:p>
      <w:pPr>
        <w:pStyle w:val="Heading2"/>
      </w:pPr>
      <w:r>
        <w:t>1.1. Понятие самостоятельной работы и её место в учебном плане</w:t>
      </w:r>
    </w:p>
    <w:p>
      <w:r>
        <w:t>На самостоятельную работу по учебному плану отводится почти 40% общей нагрузки, однако на практике эти часы часто остаются без контроля. Осенью 2022 г. из 18 наблюдаемых групп лишь в 7 задания проверялись в срок. В остальных преподаватели принимали работы разом, накануне итогового контроля. Как отмечает А. Каримов [3, с. 45], это превращает самостоятельную работу в формальность. Почему так происходит? Первая причина – нагрузка: на одного доцента приходится в среднем 96 студентов. Вторая – техническая: до 2021 г. система Moodle работала только на двух факультетах.</w:t>
      </w:r>
    </w:p>
    <w:p>
      <w:r>
        <w:t>Анкета строилась на шкале Лайкерта (1–5) и сначала была опробована на 36 студентах. После пилотажа три вопроса пришлось убрать: студенты понимали их по-разному. Например, выражение «удобство платформы» одни связывали со скоростью интернета, другие – с интерфейсом. В итоговой анкете осталось 24 вопроса. Коэффициент альфа Кронбаха составил 0,81, что позволяет считать внутреннюю согласованность приемлемой [7]. Данные обрабатывались в SPSS 26; различия между группами проверялись критерием Манна–Уитни.</w:t>
      </w:r>
    </w:p>
    <w:p>
      <w:pPr>
        <w:pStyle w:val="Heading2"/>
      </w:pPr>
      <w:r>
        <w:t>1.2. Возможности цифровых платформ</w:t>
      </w:r>
    </w:p>
    <w:p>
      <w:r>
        <w:t>В современном мире цифровые образовательные технологии являются неотъемлемой частью системы образования. Важно отметить, что цифровые платформы играют ключевую роль в организации самостоятельной работы студентов. Кроме того, они способствуют повышению эффективности образовательного процесса. Более того, цифровые инструменты открывают новые возможности для взаимодействия преподавателя и студента. Таким образом, данный подход имеет важное значение для повышения качества образования. В результате современная образовательная среда становится более эффективной и инновационной.</w:t>
      </w:r>
    </w:p>
    <w:p>
      <w:r>
        <w:t>Организация самостоятельной работы в цифровой среде требует комплексного подхода. Во-первых, учебные материалы должны быть системными и всесторонними. Во-вторых, критерии оценивания должны быть чёткими и прозрачными. В-третьих, для повышения активности студентов необходимо использовать инновационные методы. Кроме того, цифровая компетентность преподавателей играет важную роль. Таким образом, комплексный подход открывает новые возможности для повышения качества образования.</w:t>
      </w:r>
    </w:p>
    <w:p>
      <w:r>
        <w:br w:type="page"/>
      </w:r>
    </w:p>
    <w:p>
      <w:pPr>
        <w:pStyle w:val="Heading1"/>
      </w:pPr>
      <w:r>
        <w:t>ГЛАВА II. ОПЫТНО-ЭКСПЕРИМЕНТАЛЬНАЯ РАБОТА</w:t>
      </w:r>
    </w:p>
    <w:p>
      <w:pPr>
        <w:pStyle w:val="Heading2"/>
      </w:pPr>
      <w:r>
        <w:t>2.1. Методика исследования</w:t>
      </w:r>
    </w:p>
    <w:p>
      <w:r>
        <w:t>Анкета строилась на шкале Лайкерта (1–5) и сначала была опробована на 36 студентах. После пилотажа три вопроса пришлось убрать: студенты понимали их по-разному. Например, выражение «удобство платформы» одни связывали со скоростью интернета, другие – с интерфейсом. В итоговой анкете осталось 24 вопроса. Коэффициент альфа Кронбаха составил 0,81, что позволяет считать внутреннюю согласованность приемлемой [7]. Данные обрабатывались в SPSS 26; различия между группами проверялись критерием Манна–Уитни.</w:t>
      </w:r>
    </w:p>
    <w:p>
      <w:r>
        <w:t>Результаты оказались несколько неожиданными. Средний балл студентов, работавших на платформе, составил 3,9, в традиционных группах – 3,7; разница статистически незначима (p = 0,12). Зато доля работ, сданных в срок, различалась резко: 78% против 41%. Иначе говоря, платформа изменила не знания, а дисциплину. В интервью студенты чаще всего называли полезными напоминания и видимые сроки. Одна студентка сказала: «Когда я вижу дедлайн, мне стыдно откладывать».</w:t>
      </w:r>
    </w:p>
    <w:p>
      <w:pPr>
        <w:pStyle w:val="Heading2"/>
      </w:pPr>
      <w:r>
        <w:t>2.2. Анализ результатов</w:t>
      </w:r>
    </w:p>
    <w:p>
      <w:r>
        <w:t>Следует отметить, что цифровые платформы открывают новые возможности для студентов. Они обеспечивают доступ к учебным материалам в любое время. Кроме того, они способствуют развитию навыков самостоятельного мышления. Более того, цифровые инструменты играют ключевую роль в персонализации обучения. Также они имеют важное значение для повышения мотивации студентов. Таким образом, образовательный процесс становится более эффективным, инновационным и современным.</w:t>
      </w:r>
    </w:p>
    <w:p>
      <w:r>
        <w:t>На самостоятельную работу по учебному плану отводится почти 40% общей нагрузки, однако на практике эти часы часто остаются без контроля. Осенью 2022 г. из 18 наблюдаемых групп лишь в 7 задания проверялись в срок. В остальных преподаватели принимали работы разом, накануне итогового контроля. Как отмечает А. Каримов [3, с. 45], это превращает самостоятельную работу в формальность. Почему так происходит? Первая причина – нагрузка: на одного доцента приходится в среднем 96 студентов. Вторая – техническая: до 2021 г. система Moodle работала только на двух факультетах.</w:t>
      </w:r>
    </w:p>
    <w:p>
      <w:r>
        <w:br w:type="page"/>
      </w:r>
    </w:p>
    <w:p>
      <w:pPr>
        <w:pStyle w:val="Heading1"/>
      </w:pPr>
      <w:r>
        <w:t>ЗАКЛЮЧЕНИЕ</w:t>
      </w:r>
    </w:p>
    <w:p>
      <w:r>
        <w:t>Подводя итог, можно сделать вывод, что организация самостоятельной работы в цифровой среде является одним из важнейших направлений развития образования. Важно отметить, что данный процесс требует комплексного подхода. Кроме того, цифровые платформы играют решающую роль в повышении качества образования. Более того, они способствуют эффективной организации самостоятельной деятельности. Таким образом, данный подход служит основой устойчивого развития системы образования.</w:t>
      </w:r>
    </w:p>
    <w:p>
      <w:r>
        <w:br w:type="page"/>
      </w:r>
    </w:p>
    <w:p>
      <w:pPr>
        <w:pStyle w:val="Heading1"/>
      </w:pPr>
      <w:r>
        <w:t>СПИСОК ИСПОЛЬЗОВАННОЙ ЛИТЕРАТУРЫ</w:t>
      </w:r>
    </w:p>
    <w:p>
      <w:r>
        <w:t>1. Абдуллаева Н. Самостоятельная работа в вузе. – Ташкент: Фан, 2019. – 184 с. (образец)</w:t>
      </w:r>
    </w:p>
    <w:p>
      <w:r>
        <w:t>2. Бекмуродов С. Основы цифровой педагогики. – Ташкент, 2020. – 212 с. (образец)</w:t>
      </w:r>
    </w:p>
    <w:p>
      <w:r>
        <w:t>3. Каримов А. Контроль самостоятельной работы студентов // Образование и инновации. – 2021. – № 4. – С. 40–47. (образец)</w:t>
      </w:r>
    </w:p>
    <w:p>
      <w:r>
        <w:t>4. Рашидова Д. Платформы дистанционного обучения. – Самарканд, 2022. – 150 с. (образец)</w:t>
      </w:r>
    </w:p>
    <w:p>
      <w:r>
        <w:t>5. Турсунов Б. Критерии оценивания. – Ташкент, 2018. (образец)</w:t>
      </w:r>
    </w:p>
    <w:p>
      <w:r>
        <w:t>6. Юсупов О. Создание курса в Moodle. – Ташкент, 2021. – 96 с. (образец)</w:t>
      </w:r>
    </w:p>
    <w:p>
      <w:r>
        <w:t>7. Cronbach L. Coefficient alpha and the internal structure of tests // Psychometrika. – 1951. – Vol. 16. – P. 297–334.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Guruh / Group</w:t>
            </w:r>
          </w:p>
        </w:tc>
        <w:tc>
          <w:tcPr>
            <w:tcW w:type="dxa" w:w="4320"/>
          </w:tcPr>
          <w:p>
            <w:r>
              <w:t>%</w:t>
            </w:r>
          </w:p>
        </w:tc>
      </w:tr>
      <w:tr>
        <w:tc>
          <w:tcPr>
            <w:tcW w:type="dxa" w:w="4320"/>
          </w:tcPr>
          <w:p>
            <w:r>
              <w:t>A</w:t>
            </w:r>
          </w:p>
        </w:tc>
        <w:tc>
          <w:tcPr>
            <w:tcW w:type="dxa" w:w="4320"/>
          </w:tcPr>
          <w:p>
            <w:r>
              <w:t>78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