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Contribution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 Collection and Cleaning:</w:t>
      </w:r>
      <w:r w:rsidDel="00000000" w:rsidR="00000000" w:rsidRPr="00000000">
        <w:rPr>
          <w:rtl w:val="0"/>
        </w:rPr>
        <w:t xml:space="preserve"> Azizbek was responsible for sourcing and organizing datasets from multiple official institutions, including KOSIS, OECD, the Bank of Korea, and the Ministry of Employment and Labor. This involved gathering data relevant to youth unemployment from 2018 to 2024 and preparing it for 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 Processing and Integration:</w:t>
      </w:r>
      <w:r w:rsidDel="00000000" w:rsidR="00000000" w:rsidRPr="00000000">
        <w:rPr>
          <w:rtl w:val="0"/>
        </w:rPr>
        <w:t xml:space="preserve"> Azizbek also handled the technical aspects of data preprocessing. Using Python, he filtered, cleaned, and merged the datasets to create a unified and analyzable dataset (“Youth_Unemployment_Full_Expanded_SK_2018_2024.xlsx”) consisting of 24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Visualization and Analysis:</w:t>
      </w:r>
      <w:r w:rsidDel="00000000" w:rsidR="00000000" w:rsidRPr="00000000">
        <w:rPr>
          <w:rtl w:val="0"/>
        </w:rPr>
        <w:t xml:space="preserve"> Nuritdin and Diyora developed seven key visualizations that illustrate core trends and comparisons within the youth labor market. These charts were used to extract analytical insights regarding unemployment, NEET rates, employment sectors, and international comparisons.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Presentation and Policy Recommendations: </w:t>
      </w:r>
      <w:r w:rsidDel="00000000" w:rsidR="00000000" w:rsidRPr="00000000">
        <w:rPr>
          <w:rtl w:val="0"/>
        </w:rPr>
        <w:t xml:space="preserve">Changhwan was in charge of creating the final presentation slides. He also contributed the policy recommendation section and wrote the project’s conclusion, synthesizing the team’s findings into actionable suggestions.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Report Writing: </w:t>
      </w:r>
      <w:r w:rsidDel="00000000" w:rsidR="00000000" w:rsidRPr="00000000">
        <w:rPr>
          <w:rtl w:val="0"/>
        </w:rPr>
        <w:t xml:space="preserve">All team members actively contributed to the composition of this report. Collaborative writing sessions and iterative peer reviews ensured that the final document was cohesive, accurate, and reflective of the team's joint effort.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