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  <w:tab/>
        <w:t xml:space="preserve">-146.92.73.107 (classe B publique)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-245.220.205.122 (classe E privée)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-218.212.25.11 (classe C publique)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-11000000.10101000.00000010.00100001 (classe C privée)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-00001010.00010100.00100100.01001011 (classe A privée)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-10000100.11100011.01001000.00100000 (classe B publique)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masque 255.255.0.0 donc les deux premiers octets définissent le réseau et les deux derniers définissent les machines A à une adresse de classe B et appartient au réseau 190.24.0.0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a) 65533 adresses disponibles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b)190.24.0.0 (adresse reseau) et 190.24.255.255 (adresse broadcast)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masque 255.0.0.0 donc lepremier octets définit le réseau et les trois derniers définissent les machines B à une adresse de classe A et appartient au réseau 10.0.0.0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a)16 777 213 adresses disponibles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b)10.0.0.0(adresse réseau) 10.255.255.255(adresses broadcast)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3.10.82.254.1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1.classe B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2.255.255.0.0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3.65 534 machines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4.172.16.255.255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5.privée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