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80"/>
      </w:pPr>
      <w:r>
        <w:rPr>
          <w:b/>
          <w:sz w:val="40"/>
          <w:color w:val="4F46E5"/>
        </w:rPr>
        <w:t xml:space="preserve">Annexe</w:t>
      </w:r>
    </w:p>
    <w:p>
      <w:pPr>
        <w:jc w:val="center"/>
        <w:spacing w:after="360"/>
      </w:pPr>
      <w:r>
        <w:rPr>
          <w:b/>
          <w:sz w:val="26"/>
        </w:rPr>
        <w:t xml:space="preserve">Architecture technique et details d’implementation — FinDocAnalyzer</w:t>
      </w:r>
    </w:p>
    <w:p>
      <w:pPr>
        <w:spacing w:before="0" w:after="240"/>
      </w:pPr>
      <w:r>
        <w:t xml:space="preserve">Cette annexe presente les elements techniques complementaires du systeme FinDocAnalyzer : architecture globale, pipeline multi-agents, algorithmes de detection d’anomalies, modele de donnees, API REST, stack technologique et captures d’ecran de l’interface utilisateur.</w:t>
      </w:r>
    </w:p>
    <w:p>
      <w:pPr>
        <w:pStyle w:val="Titre1"/>
        <w:spacing w:before="240" w:after="120"/>
      </w:pPr>
      <w:r>
        <w:t xml:space="preserve">A.1 — Architecture globale du systeme</w:t>
      </w:r>
    </w:p>
    <w:p>
      <w:pPr>
        <w:spacing w:before="0" w:after="120"/>
      </w:pPr>
      <w:r>
        <w:t xml:space="preserve">Le systeme est deploye via Docker Compose et repose sur cinq services conteneurises communiquant sur un reseau interne commun :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00"/>
        <w:gridCol w:w="2800"/>
        <w:gridCol w:w="1800"/>
        <w:gridCol w:w="3026"/>
      </w:tblGrid>
      <w:tr>
        <w:tc>
          <w:tcPr>
            <w:tcW w:w="14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Service</w:t>
            </w:r>
          </w:p>
        </w:tc>
        <w:tc>
          <w:tcPr>
            <w:tcW w:w="28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Image / Technologie</w:t>
            </w:r>
          </w:p>
        </w:tc>
        <w:tc>
          <w:tcPr>
            <w:tcW w:w="18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Port (hote→conteneur)</w:t>
            </w:r>
          </w:p>
        </w:tc>
        <w:tc>
          <w:tcPr>
            <w:tcW w:w="30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postgres</w:t>
            </w:r>
          </w:p>
        </w:tc>
        <w:tc>
          <w:tcPr>
            <w:tcW w:w="2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postgres:16-alpine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5432→5432</w:t>
            </w:r>
          </w:p>
        </w:tc>
        <w:tc>
          <w:tcPr>
            <w:tcW w:w="30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Persistance des utilisateurs, documents et resultats d’analyse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chromadb</w:t>
            </w:r>
          </w:p>
        </w:tc>
        <w:tc>
          <w:tcPr>
            <w:tcW w:w="2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chromadb/chroma:latest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8001→8000</w:t>
            </w:r>
          </w:p>
        </w:tc>
        <w:tc>
          <w:tcPr>
            <w:tcW w:w="30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Base vectorielle pour les embeddings (module RAG)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ollama</w:t>
            </w:r>
          </w:p>
        </w:tc>
        <w:tc>
          <w:tcPr>
            <w:tcW w:w="2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ollama/ollama:latest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11434→11434</w:t>
            </w:r>
          </w:p>
        </w:tc>
        <w:tc>
          <w:tcPr>
            <w:tcW w:w="30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Serveur d’inference LLM local (Llama 3)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backend</w:t>
            </w:r>
          </w:p>
        </w:tc>
        <w:tc>
          <w:tcPr>
            <w:tcW w:w="2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FastAPI (build local, Python)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8000→8000</w:t>
            </w:r>
          </w:p>
        </w:tc>
        <w:tc>
          <w:tcPr>
            <w:tcW w:w="30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API REST et orchestration du pipeline multi-agents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frontend</w:t>
            </w:r>
          </w:p>
        </w:tc>
        <w:tc>
          <w:tcPr>
            <w:tcW w:w="2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React / Vite (build local, servi par Nginx)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3000→80</w:t>
            </w:r>
          </w:p>
        </w:tc>
        <w:tc>
          <w:tcPr>
            <w:tcW w:w="30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Interface utilisateur web</w:t>
            </w:r>
          </w:p>
        </w:tc>
      </w:tr>
    </w:tbl>
    <w:p>
      <w:pPr>
        <w:spacing w:after="160"/>
      </w:pPr>
    </w:p>
    <w:p>
      <w:pPr>
        <w:spacing w:before="0" w:after="120"/>
      </w:pPr>
      <w:r>
        <w:t xml:space="preserve">Le service backend attend que postgres soit « healthy » (healthcheck pg_isready) avant de demarrer. Les volumes postgres_data, chroma_data, ollama_data et uploads_data assurent la persistance des donnees entre redemarrages.</w:t>
      </w:r>
    </w:p>
    <w:p>
      <w:pPr>
        <w:pStyle w:val="Titre1"/>
        <w:spacing w:before="240" w:after="120"/>
      </w:pPr>
      <w:r>
        <w:t xml:space="preserve">A.2 — Pipeline multi-agents (LangGraph)</w:t>
      </w:r>
    </w:p>
    <w:p>
      <w:pPr>
        <w:spacing w:before="0" w:after="120"/>
      </w:pPr>
      <w:r>
        <w:t xml:space="preserve">Le cœur du traitement est un graphe d’etats LangGraph (StateGraph) execute par l’OrchestratorAgent. Le flux est le suivant 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extraction → classification → parallel_analysis → report → END</w:t>
      </w:r>
    </w:p>
    <w:p>
      <w:pPr>
        <w:spacing w:before="0" w:after="200"/>
      </w:pPr>
      <w:r>
        <w:t xml:space="preserve">Le nœud parallel_analysis execute simultanement, via un ThreadPoolExecutor (max_workers=3), les agents AnomalyDetectionAgent, SummaryAgent et RAGAgent, qui ne dependent pas les uns des autres mais partagent le meme texte extrait. Cette parallelisation reduit le temps de reponse global de l’analyse.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0"/>
        <w:gridCol w:w="3600"/>
        <w:gridCol w:w="3226"/>
      </w:tblGrid>
      <w:tr>
        <w:tc>
          <w:tcPr>
            <w:tcW w:w="2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Agent</w:t>
            </w:r>
          </w:p>
        </w:tc>
        <w:tc>
          <w:tcPr>
            <w:tcW w:w="36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w="32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Technologies principales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ExtractionAgent</w:t>
            </w:r>
          </w:p>
        </w:tc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Extraction du texte brut a partir du PDF source</w:t>
            </w:r>
          </w:p>
        </w:tc>
        <w:tc>
          <w:tcPr>
            <w:tcW w:w="32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PaddleOCR, PyMuPDF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ClassificationAgent</w:t>
            </w:r>
          </w:p>
        </w:tc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Identification du type de document (facture, bon de commande, reçu…)</w:t>
            </w:r>
          </w:p>
        </w:tc>
        <w:tc>
          <w:tcPr>
            <w:tcW w:w="32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Mots-cles spaCy + confirmation Llama 3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AnomalyDetectionAgent</w:t>
            </w:r>
          </w:p>
        </w:tc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Detection des anomalies metier et statistiques, calcul du score de risque</w:t>
            </w:r>
          </w:p>
        </w:tc>
        <w:tc>
          <w:tcPr>
            <w:tcW w:w="32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RuleBasedDetector, StatisticalDetector (scikit-learn), AnomalyFusion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SummaryAgent</w:t>
            </w:r>
          </w:p>
        </w:tc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Generation d’un resume structure du document</w:t>
            </w:r>
          </w:p>
        </w:tc>
        <w:tc>
          <w:tcPr>
            <w:tcW w:w="32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Llama 3 via Ollama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RAGAgent</w:t>
            </w:r>
          </w:p>
        </w:tc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Indexation vectorielle du document et reponse aux questions</w:t>
            </w:r>
          </w:p>
        </w:tc>
        <w:tc>
          <w:tcPr>
            <w:tcW w:w="32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ChromaDB, sentence-transformers (all-MiniLM-L6-v2), Llama 3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OrchestratorAgent</w:t>
            </w:r>
          </w:p>
        </w:tc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Coordination et sequencement de l’ensemble du pipeline</w:t>
            </w:r>
          </w:p>
        </w:tc>
        <w:tc>
          <w:tcPr>
            <w:tcW w:w="32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LangGraph StateGraph, ThreadPoolExecutor</w:t>
            </w:r>
          </w:p>
        </w:tc>
      </w:tr>
    </w:tbl>
    <w:p>
      <w:pPr>
        <w:spacing w:after="160"/>
      </w:pPr>
    </w:p>
    <w:p>
      <w:pPr>
        <w:pStyle w:val="Titre1"/>
        <w:spacing w:before="240" w:after="120"/>
      </w:pPr>
      <w:r>
        <w:t xml:space="preserve">A.3 — Module de detection d’anomalies : detail algorithmique</w:t>
      </w:r>
    </w:p>
    <w:p>
      <w:pPr>
        <w:pStyle w:val="Titre2"/>
        <w:spacing w:before="240" w:after="120"/>
      </w:pPr>
      <w:r>
        <w:t xml:space="preserve">A.3.1 RuleBasedDetector — regles metier</w:t>
      </w:r>
    </w:p>
    <w:p>
      <w:pPr>
        <w:spacing w:before="0" w:after="120"/>
      </w:pPr>
      <w:r>
        <w:t xml:space="preserve">Cinq familles de regles sont appliquees au texte extrait selon le type de document :</w:t>
      </w:r>
    </w:p>
    <w:p>
      <w:pPr>
        <w:spacing w:after="60"/>
        <w:ind w:left="454" w:hanging="454"/>
      </w:pPr>
      <w:r>
        <w:t xml:space="preserve">•	</w:t>
      </w:r>
      <w:r>
        <w:rPr>
          <w:b/>
        </w:rPr>
        <w:t xml:space="preserve">Regle 1 — </w:t>
      </w:r>
      <w:r>
        <w:t xml:space="preserve">Champs obligatoires manquants selon le type de document (numero, date, client, sous-total HT, TVA, total TTC, etc.).</w:t>
      </w:r>
    </w:p>
    <w:p>
      <w:pPr>
        <w:spacing w:after="60"/>
        <w:ind w:left="454" w:hanging="454"/>
      </w:pPr>
      <w:r>
        <w:t xml:space="preserve">•	</w:t>
      </w:r>
      <w:r>
        <w:rPr>
          <w:b/>
        </w:rPr>
        <w:t xml:space="preserve">Regle 2 — </w:t>
      </w:r>
      <w:r>
        <w:t xml:space="preserve">Coherence Total TTC = Sous-total HT + TVA (tolerance de 0,02).</w:t>
      </w:r>
    </w:p>
    <w:p>
      <w:pPr>
        <w:spacing w:after="60"/>
        <w:ind w:left="454" w:hanging="454"/>
      </w:pPr>
      <w:r>
        <w:t xml:space="preserve">•	</w:t>
      </w:r>
      <w:r>
        <w:rPr>
          <w:b/>
        </w:rPr>
        <w:t xml:space="preserve">Regle 3 — </w:t>
      </w:r>
      <w:r>
        <w:t xml:space="preserve">Coherence des totaux de ligne : quantite × prix unitaire = total de ligne (tolerance relative de 2 %, plafonne a 5 anomalies).</w:t>
      </w:r>
    </w:p>
    <w:p>
      <w:pPr>
        <w:spacing w:after="60"/>
        <w:ind w:left="454" w:hanging="454"/>
      </w:pPr>
      <w:r>
        <w:t xml:space="preserve">•	</w:t>
      </w:r>
      <w:r>
        <w:rPr>
          <w:b/>
        </w:rPr>
        <w:t xml:space="preserve">Regle 4 — </w:t>
      </w:r>
      <w:r>
        <w:t xml:space="preserve">Montants suspects : valeurs negatives, montants nuls (0,00), TVA absente alors qu’un total est present, total inferieur au sous-total.</w:t>
      </w:r>
    </w:p>
    <w:p>
      <w:pPr>
        <w:spacing w:after="60"/>
        <w:ind w:left="454" w:hanging="454"/>
      </w:pPr>
      <w:r>
        <w:t xml:space="preserve">•	</w:t>
      </w:r>
      <w:r>
        <w:rPr>
          <w:b/>
        </w:rPr>
        <w:t xml:space="preserve">Regle 5 — </w:t>
      </w:r>
      <w:r>
        <w:t xml:space="preserve">Format du numero de facture non conforme au format attendu (ex. FAC-2026-00125).</w:t>
      </w:r>
    </w:p>
    <w:p>
      <w:pPr>
        <w:pStyle w:val="Titre2"/>
        <w:spacing w:before="240" w:after="120"/>
      </w:pPr>
      <w:r>
        <w:t xml:space="preserve">A.3.2 StatisticalDetector — modeles de machine learning</w:t>
      </w:r>
    </w:p>
    <w:p>
      <w:pPr>
        <w:spacing w:before="0" w:after="120"/>
      </w:pPr>
      <w:r>
        <w:t xml:space="preserve">Les montants extraits du document sont soumis a trois modeles de detection d’outliers, executes en parallele et combines par vote majoritaire : une valeur est retenue comme anomalie statistique si au moins 2 des 3 modeles la classent comme aberrante.</w:t>
      </w:r>
    </w:p>
    <w:p>
      <w:pPr>
        <w:spacing w:after="60"/>
        <w:ind w:left="454" w:hanging="454"/>
      </w:pPr>
      <w:r>
        <w:t xml:space="preserve">•	</w:t>
      </w:r>
      <w:r>
        <w:t xml:space="preserve">Isolation Forest (scikit-learn, contamination = 0,1, random_state = 42).</w:t>
      </w:r>
    </w:p>
    <w:p>
      <w:pPr>
        <w:spacing w:after="60"/>
        <w:ind w:left="454" w:hanging="454"/>
      </w:pPr>
      <w:r>
        <w:t xml:space="preserve">•	</w:t>
      </w:r>
      <w:r>
        <w:t xml:space="preserve">One-Class SVM (noyau RBF, gamma = scale, nu = 0,1).</w:t>
      </w:r>
    </w:p>
    <w:p>
      <w:pPr>
        <w:spacing w:after="60"/>
        <w:ind w:left="454" w:hanging="454"/>
      </w:pPr>
      <w:r>
        <w:t xml:space="preserve">•	</w:t>
      </w:r>
      <w:r>
        <w:t xml:space="preserve">Local Outlier Factor (n_neighbors = min(5, n-1), contamination = 0,1).</w:t>
      </w:r>
    </w:p>
    <w:p>
      <w:pPr>
        <w:spacing w:before="0" w:after="200"/>
      </w:pPr>
      <w:r>
        <w:t xml:space="preserve">L’analyse statistique n’est declenchee que si le document contient au moins 5 montants exploitables (seuil minimal de significativite).</w:t>
      </w:r>
    </w:p>
    <w:p>
      <w:pPr>
        <w:pStyle w:val="Titre2"/>
        <w:spacing w:before="240" w:after="120"/>
      </w:pPr>
      <w:r>
        <w:t xml:space="preserve">A.3.3 AnomalyFusion — fusion et score de risque</w:t>
      </w:r>
    </w:p>
    <w:p>
      <w:pPr>
        <w:spacing w:before="0" w:after="120"/>
      </w:pPr>
      <w:r>
        <w:t xml:space="preserve">Les anomalies issues des deux detecteurs sont fusionnees, dedupliquees (cle = type + valeur normalisee) puis triees par severite decroissante (HIGH &gt; MEDIUM &gt; LOW). Le score de risque global est calcule par ponderation additive, plafonnee a 1,0 :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Severite</w:t>
            </w:r>
          </w:p>
        </w:tc>
        <w:tc>
          <w:tcPr>
            <w:tcW w:w="4513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Poids applique au score de risque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4513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+ 0,30 par anomalie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4513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+ 0,15 par anomalie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w="4513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+ 0,05 par anomalie</w:t>
            </w:r>
          </w:p>
        </w:tc>
      </w:tr>
    </w:tbl>
    <w:p>
      <w:pPr>
        <w:spacing w:after="160"/>
      </w:pPr>
    </w:p>
    <w:p>
      <w:pPr>
        <w:pStyle w:val="Titre1"/>
        <w:spacing w:before="240" w:after="120"/>
      </w:pPr>
      <w:r>
        <w:t xml:space="preserve">A.4 — Modele de donnees relationnel (PostgreSQL)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0"/>
        <w:gridCol w:w="6826"/>
      </w:tblGrid>
      <w:tr>
        <w:tc>
          <w:tcPr>
            <w:tcW w:w="2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Table</w:t>
            </w:r>
          </w:p>
        </w:tc>
        <w:tc>
          <w:tcPr>
            <w:tcW w:w="68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Champs principaux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users</w:t>
            </w:r>
          </w:p>
        </w:tc>
        <w:tc>
          <w:tcPr>
            <w:tcW w:w="6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id, username (unique), email (unique), password_hash, created_at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documents</w:t>
            </w:r>
          </w:p>
        </w:tc>
        <w:tc>
          <w:tcPr>
            <w:tcW w:w="6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id, filename, upload_date, document_type, raw_text, file_path, user_id (FK → users)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analysis_results</w:t>
            </w:r>
          </w:p>
        </w:tc>
        <w:tc>
          <w:tcPr>
            <w:tcW w:w="6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id, document_id (FK → documents, unique), summary, anomalies (JSON), risk_score, created_at</w:t>
            </w:r>
          </w:p>
        </w:tc>
      </w:tr>
    </w:tbl>
    <w:p>
      <w:pPr>
        <w:spacing w:after="160"/>
      </w:pPr>
    </w:p>
    <w:p>
      <w:pPr>
        <w:pStyle w:val="Titre1"/>
        <w:spacing w:before="240" w:after="120"/>
      </w:pPr>
      <w:r>
        <w:t xml:space="preserve">A.5 — API REST — liste des points d’acces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200"/>
        <w:gridCol w:w="3200"/>
        <w:gridCol w:w="4626"/>
      </w:tblGrid>
      <w:tr>
        <w:tc>
          <w:tcPr>
            <w:tcW w:w="1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Methode</w:t>
            </w:r>
          </w:p>
        </w:tc>
        <w:tc>
          <w:tcPr>
            <w:tcW w:w="3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tcW w:w="46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Verification basique de l’etat du service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/health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Health check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/api/upload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Depot d’un document PDF (50 Mo max) et persistance des metadonnees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/api/analyze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Declenche le pipeline multi-agents complet sur un document deja televerse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/api/results/{document_id}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Recupere le rapport complet : metadonnees du document + resultat d’analyse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/api/documents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Liste paginee des documents televerses (parametres skip, limit)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/api/chat</w:t>
            </w:r>
          </w:p>
        </w:tc>
        <w:tc>
          <w:tcPr>
            <w:tcW w:w="4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Question-reponse RAG sur un document specifique (ChromaDB + Llama 3)</w:t>
            </w:r>
          </w:p>
        </w:tc>
      </w:tr>
    </w:tbl>
    <w:p>
      <w:pPr>
        <w:spacing w:after="160"/>
      </w:pPr>
    </w:p>
    <w:p>
      <w:pPr>
        <w:pStyle w:val="Titre1"/>
        <w:spacing w:before="240" w:after="120"/>
      </w:pPr>
      <w:r>
        <w:t xml:space="preserve">A.6 — Stack technique complete</w:t>
      </w:r>
    </w:p>
    <w:p>
      <w:pPr>
        <w:pStyle w:val="Titre2"/>
        <w:spacing w:before="120" w:after="80"/>
      </w:pPr>
      <w:r>
        <w:t xml:space="preserve">Backend (Python)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4200"/>
        <w:gridCol w:w="2426"/>
      </w:tblGrid>
      <w:tr>
        <w:tc>
          <w:tcPr>
            <w:tcW w:w="24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Categorie</w:t>
            </w:r>
          </w:p>
        </w:tc>
        <w:tc>
          <w:tcPr>
            <w:tcW w:w="4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Bibliotheque(s)</w:t>
            </w:r>
          </w:p>
        </w:tc>
        <w:tc>
          <w:tcPr>
            <w:tcW w:w="24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Version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Framework web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FastAPI / uvicorn[standard]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0.111.0 / 0.29.0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Base de donnees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SQLAlchemy / psycopg2-binary / alembic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2.0.30 / 2.9.9 / 1.13.1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Orchestration LLM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langchain / langchain-core / langchain-community / langchain-ollama / langgraph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0.2.5 / 0.2.9 / 0.2.5 / 0.1.1 / 0.1.5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OCR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paddleocr / paddlepaddle / pymupdf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2.7.3 / 2.6.1 / 1.24.3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NLP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spaCy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3.7.4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Embeddings / Vector DB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sentence-transformers / chromadb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3.0.1 / 0.5.3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Detection d’anomalies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scikit-learn / numpy / pandas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1.5.0 / 1.26.4 / 2.2.2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Validation / utilitaires</w:t>
            </w:r>
          </w:p>
        </w:tc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pydantic[email] / python-dotenv / python-multipart</w:t>
            </w:r>
          </w:p>
        </w:tc>
        <w:tc>
          <w:tcPr>
            <w:tcW w:w="24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2.7.2 / 1.0.1 / 0.0.9</w:t>
            </w:r>
          </w:p>
        </w:tc>
      </w:tr>
    </w:tbl>
    <w:p>
      <w:pPr>
        <w:spacing w:after="160"/>
      </w:pPr>
    </w:p>
    <w:p>
      <w:pPr>
        <w:pStyle w:val="Titre2"/>
        <w:spacing w:before="120" w:after="80"/>
      </w:pPr>
      <w:r>
        <w:t xml:space="preserve">Frontend (JavaScript)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600"/>
        <w:gridCol w:w="1600"/>
        <w:gridCol w:w="4826"/>
      </w:tblGrid>
      <w:tr>
        <w:tc>
          <w:tcPr>
            <w:tcW w:w="26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Bibliotheque</w:t>
            </w:r>
          </w:p>
        </w:tc>
        <w:tc>
          <w:tcPr>
            <w:tcW w:w="16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Version</w:t>
            </w:r>
          </w:p>
        </w:tc>
        <w:tc>
          <w:tcPr>
            <w:tcW w:w="48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Usage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React / React DOM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18.3.1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Framework d’interface utilisateur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Vite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5.2.13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Bundler et serveur de developpement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React Router DOM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6.23.1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Routage cote client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Tailwind CSS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3.4.4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Styles utilitaires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Recharts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2.12.7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Visualisation des scores de risque / graphiques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Axios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1.7.2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Client HTTP pour l’API backend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react-dropzone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14.2.3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Zone de depot de fichiers PDF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Framer Motion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12.40.0</w:t>
            </w:r>
          </w:p>
        </w:tc>
        <w:tc>
          <w:tcPr>
            <w:tcW w:w="48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Animations d’interface</w:t>
            </w:r>
          </w:p>
        </w:tc>
      </w:tr>
    </w:tbl>
    <w:p>
      <w:pPr>
        <w:spacing w:after="160"/>
      </w:pPr>
    </w:p>
    <w:p>
      <w:pPr>
        <w:pStyle w:val="Titre1"/>
        <w:spacing w:before="240" w:after="120"/>
      </w:pPr>
      <w:r>
        <w:t xml:space="preserve">A.7 — Configuration et variables d’environnement</w:t>
      </w:r>
    </w:p>
    <w:tbl>
      <w:tblPr>
        <w:tblStyle w:val="TableauGrille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200"/>
        <w:gridCol w:w="3200"/>
        <w:gridCol w:w="2626"/>
      </w:tblGrid>
      <w:tr>
        <w:tc>
          <w:tcPr>
            <w:tcW w:w="3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Variable</w:t>
            </w:r>
          </w:p>
        </w:tc>
        <w:tc>
          <w:tcPr>
            <w:tcW w:w="3200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Valeur par defaut</w:t>
            </w:r>
          </w:p>
        </w:tc>
        <w:tc>
          <w:tcPr>
            <w:tcW w:w="2626" w:type="dxa"/>
            <w:shd w:val="clear" w:color="auto" w:fill="4F46E5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DATABASE_URL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postgresql://findoc_user:...@postgres:5432/findoc_db</w:t>
            </w:r>
          </w:p>
        </w:tc>
        <w:tc>
          <w:tcPr>
            <w:tcW w:w="2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Chaine de connexion PostgreSQL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OLLAMA_BASE_URL / OLLAMA_MODEL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http://ollama:11434 / llama3</w:t>
            </w:r>
          </w:p>
        </w:tc>
        <w:tc>
          <w:tcPr>
            <w:tcW w:w="2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Serveur et modele LLM utilises par les agents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CHROMA_HOST / CHROMA_PORT / CHROMA_COLLECTION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chromadb / 8000 / financial_docs</w:t>
            </w:r>
          </w:p>
        </w:tc>
        <w:tc>
          <w:tcPr>
            <w:tcW w:w="2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Connexion a la base vectorielle ChromaDB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EMBEDDING_MODEL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all-MiniLM-L6-v2</w:t>
            </w:r>
          </w:p>
        </w:tc>
        <w:tc>
          <w:tcPr>
            <w:tcW w:w="2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Modele d’embeddings pour l’indexation RAG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MAX_FILE_SIZE_MB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Taille maximale d’un PDF televerse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CORS_ORIGINS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http://localhost:3000</w:t>
            </w:r>
          </w:p>
        </w:tc>
        <w:tc>
          <w:tcPr>
            <w:tcW w:w="262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Origines autorisees pour les appels API cross-origin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Titre1"/>
        <w:spacing w:before="240" w:after="120"/>
      </w:pPr>
      <w:r>
        <w:t xml:space="preserve">A.8 — Interface utilisateur : captures d’ecran</w:t>
      </w:r>
    </w:p>
    <w:p>
      <w:pPr>
        <w:pStyle w:val="Titre2"/>
        <w:spacing w:before="120" w:after="60"/>
      </w:pPr>
      <w:r>
        <w:t xml:space="preserve">A.8.1 Page de connexion</w:t>
      </w:r>
    </w:p>
    <w:p>
      <w:pPr>
        <w:jc w:val="center"/>
        <w:spacing w:after="60"/>
      </w:pPr>
      <w:r>
        <w:drawing>
          <wp:inline distT="0" distB="0" distL="0" distR="0">
            <wp:extent cx="5943600" cy="37147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Figure A.1 — Ecran de connexion (comptes de demonstration Admin / Analyste).</w:t>
      </w:r>
    </w:p>
    <w:p>
      <w:pPr>
        <w:pStyle w:val="Titre2"/>
        <w:spacing w:before="120" w:after="60"/>
      </w:pPr>
      <w:r>
        <w:t xml:space="preserve">A.8.2 Tableau de bord — depot de document</w:t>
      </w:r>
    </w:p>
    <w:p>
      <w:pPr>
        <w:jc w:val="center"/>
        <w:spacing w:after="60"/>
      </w:pPr>
      <w:r>
        <w:drawing>
          <wp:inline distT="0" distB="0" distL="0" distR="0">
            <wp:extent cx="5943600" cy="37147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Figure A.2 — Page d’accueil et zone de depot d’un document PDF.</w:t>
      </w:r>
    </w:p>
    <w:p>
      <w:r>
        <w:br w:type="page"/>
      </w:r>
    </w:p>
    <w:p>
      <w:pPr>
        <w:pStyle w:val="Titre2"/>
        <w:spacing w:before="120" w:after="60"/>
      </w:pPr>
      <w:r>
        <w:t xml:space="preserve">A.8.3 Resultat d’analyse detaille</w:t>
      </w:r>
    </w:p>
    <w:p>
      <w:pPr>
        <w:jc w:val="center"/>
        <w:spacing w:after="60"/>
      </w:pPr>
      <w:r>
        <w:drawing>
          <wp:inline distT="0" distB="0" distL="0" distR="0">
            <wp:extent cx="5943600" cy="74295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Figure A.3 — Rapport d’analyse : resume automatique, score de risque et anomalies detectees.</w:t>
      </w:r>
    </w:p>
    <w:p>
      <w:r>
        <w:br w:type="page"/>
      </w:r>
    </w:p>
    <w:p>
      <w:pPr>
        <w:pStyle w:val="Titre2"/>
        <w:spacing w:before="120" w:after="60"/>
      </w:pPr>
      <w:r>
        <w:t xml:space="preserve">A.8.4 Assistant conversationnel (RAG)</w:t>
      </w:r>
    </w:p>
    <w:p>
      <w:pPr>
        <w:jc w:val="center"/>
        <w:spacing w:after="60"/>
      </w:pPr>
      <w:r>
        <w:drawing>
          <wp:inline distT="0" distB="0" distL="0" distR="0">
            <wp:extent cx="5943600" cy="37147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Figure A.4 — Interface de question-reponse sur le document via le pipeline RAG.</w:t>
      </w:r>
    </w:p>
    <w:p>
      <w:pPr>
        <w:pStyle w:val="Titre2"/>
        <w:spacing w:before="120" w:after="60"/>
      </w:pPr>
      <w:r>
        <w:t xml:space="preserve">A.8.5 Historique des analyses</w:t>
      </w:r>
    </w:p>
    <w:p>
      <w:pPr>
        <w:jc w:val="center"/>
        <w:spacing w:after="60"/>
      </w:pPr>
      <w:r>
        <w:drawing>
          <wp:inline distT="0" distB="0" distL="0" distR="0">
            <wp:extent cx="5943600" cy="371475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Figure A.5 — Historique des documents traites et de leurs scores de risque.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re1">
    <w:name w:val="heading 1"/>
    <w:basedOn w:val="Normal"/>
    <w:pPr>
      <w:keepNext/>
      <w:spacing w:before="360" w:after="160"/>
      <w:pBdr>
        <w:bottom w:val="single" w:sz="6" w:space="4" w:color="4F46E5"/>
      </w:pBdr>
    </w:pPr>
    <w:rPr>
      <w:b/>
      <w:color w:val="4F46E5"/>
      <w:sz w:val="30"/>
    </w:rPr>
  </w:style>
  <w:style w:type="paragraph" w:styleId="Titre2">
    <w:name w:val="heading 2"/>
    <w:basedOn w:val="Normal"/>
    <w:pPr>
      <w:keepNext/>
      <w:spacing w:before="240" w:after="120"/>
    </w:pPr>
    <w:rPr>
      <w:b/>
      <w:color w:val="1F2937"/>
      <w:sz w:val="24"/>
    </w:rPr>
  </w:style>
  <w:style w:type="paragraph" w:styleId="Titre3">
    <w:name w:val="heading 3"/>
    <w:basedOn w:val="Normal"/>
    <w:pPr>
      <w:keepNext/>
      <w:spacing w:before="200" w:after="100"/>
    </w:pPr>
    <w:rPr>
      <w:b/>
      <w:i/>
      <w:sz w:val="22"/>
    </w:rPr>
  </w:style>
  <w:style w:type="table" w:styleId="TableauGrille">
    <w:name w:val="Table Grid"/>
    <w:tblPr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Python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Annexe - FinDocAnalyzer</dc:title>
  <dc:creator>Projet PFE</dc:creator>
  <cp:lastModifiedBy>Projet PFE</cp:lastModifiedBy>
  <dcterms:created xsi:type="dcterms:W3CDTF">2026-07-04T00:00:00Z</dcterms:created>
  <dcterms:modified xsi:type="dcterms:W3CDTF">2026-07-04T00:00:00Z</dcterms:modified>
</cp:coreProperties>
</file>