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i w:val="0"/>
          <w:sz w:val="30"/>
        </w:rPr>
        <w:t>AzizMedLine Medical Laboratory</w:t>
      </w:r>
    </w:p>
    <w:p>
      <w:pPr>
        <w:spacing w:after="280" w:before="0"/>
        <w:jc w:val="center"/>
        <w:pBdr>
          <w:bottom w:val="single" w:sz="8" w:space="4" w:color="1F4E79"/>
        </w:pBdr>
      </w:pPr>
      <w:r>
        <w:rPr>
          <w:b w:val="0"/>
          <w:i w:val="0"/>
          <w:color w:val="555555"/>
          <w:sz w:val="20"/>
        </w:rPr>
        <w:t>[Address] · Uzbekistan · [Phone] · [E-mail]</w:t>
      </w:r>
    </w:p>
    <w:p>
      <w:pPr>
        <w:spacing w:after="160" w:before="0"/>
      </w:pPr>
      <w:r>
        <w:rPr>
          <w:b w:val="0"/>
          <w:i w:val="0"/>
        </w:rPr>
        <w:t>Date: 23 September 2026</w:t>
      </w:r>
    </w:p>
    <w:p>
      <w:pPr>
        <w:spacing w:after="160" w:before="0"/>
      </w:pPr>
      <w:r>
        <w:rPr>
          <w:b w:val="0"/>
          <w:i w:val="0"/>
        </w:rPr>
        <w:t>To: Biobase Group / [Sales Manager name]</w:t>
      </w:r>
    </w:p>
    <w:p>
      <w:pPr>
        <w:spacing w:after="160" w:before="0"/>
      </w:pPr>
      <w:r>
        <w:rPr>
          <w:b w:val="0"/>
          <w:i w:val="0"/>
        </w:rPr>
        <w:t>Jinan, Shandong, China</w:t>
      </w:r>
    </w:p>
    <w:p>
      <w:pPr>
        <w:spacing w:after="160" w:before="0"/>
      </w:pPr>
      <w:r>
        <w:rPr>
          <w:b w:val="0"/>
          <w:i w:val="0"/>
        </w:rPr>
        <w:t>Instrument: Biobase BK-280 automatic biochemistry analyzer (S/N: [S/N]), installed February 2026</w:t>
      </w:r>
    </w:p>
    <w:p>
      <w:pPr>
        <w:spacing w:after="160" w:before="0"/>
      </w:pPr>
      <w:r>
        <w:rPr>
          <w:b/>
          <w:i w:val="0"/>
        </w:rPr>
        <w:t>Subject: Six-month operating report; request for a sample barcode reader (bidirectional LIS operation) and for spare lamps and a sample needle</w:t>
      </w:r>
    </w:p>
    <w:p>
      <w:pPr>
        <w:spacing w:after="160" w:before="200"/>
      </w:pPr>
      <w:r>
        <w:rPr>
          <w:b w:val="0"/>
          <w:i w:val="0"/>
        </w:rPr>
        <w:t>Dear [Mr./Ms. Name],</w:t>
      </w:r>
    </w:p>
    <w:p>
      <w:pPr>
        <w:spacing w:after="160" w:before="0"/>
      </w:pPr>
      <w:r>
        <w:rPr>
          <w:b w:val="0"/>
          <w:i w:val="0"/>
        </w:rPr>
        <w:t>On behalf of the AzizMedLine laboratory team, we would like to sincerely thank you for supplying the Biobase BK-280 automatic biochemistry analyzer and for your support during its installation and commissioning. The analyzer was connected to our own laboratory information system (LIS) over the HL7 interface on 20 February 2026 and has been in routine daily use ever since. It has proved reliable, and we are very satisfied with the quality of the results.</w:t>
      </w:r>
    </w:p>
    <w:p>
      <w:pPr>
        <w:spacing w:after="160" w:before="0"/>
      </w:pPr>
      <w:r>
        <w:rPr>
          <w:b w:val="0"/>
          <w:i w:val="0"/>
        </w:rPr>
        <w:t>We are writing for three reasons: to share our operating statistics with you, to ask about a barcode-reading configuration of the instrument, and to order two spare parts.</w:t>
      </w:r>
    </w:p>
    <w:p>
      <w:pPr>
        <w:spacing w:before="240" w:after="120"/>
      </w:pPr>
      <w:r>
        <w:rPr>
          <w:b/>
          <w:color w:val="1F4E79"/>
          <w:sz w:val="24"/>
        </w:rPr>
        <w:t>1. Operating statistics</w:t>
      </w:r>
    </w:p>
    <w:p>
      <w:pPr>
        <w:spacing w:after="160" w:before="0"/>
      </w:pPr>
      <w:r>
        <w:rPr>
          <w:b w:val="0"/>
          <w:i w:val="0"/>
        </w:rPr>
        <w:t>All figures below are taken directly from the HL7 result messages received from the instrument and recorded in our LIS database. Repeated messages for the same sample have been de-duplicated, so the numbers reflect the real workload.</w:t>
      </w:r>
    </w:p>
    <w:tbl>
      <w:tblPr>
        <w:tblStyle w:val="TableGrid"/>
        <w:tblW w:type="auto" w:w="0"/>
        <w:jc w:val="center"/>
        <w:tblLook w:firstColumn="1" w:firstRow="1" w:lastColumn="0" w:lastRow="0" w:noHBand="0" w:noVBand="1" w:val="04A0"/>
      </w:tblPr>
      <w:tblGrid>
        <w:gridCol w:w="3230"/>
        <w:gridCol w:w="3230"/>
        <w:gridCol w:w="3230"/>
      </w:tblGrid>
      <w:tr>
        <w:tc>
          <w:tcPr>
            <w:tcW w:type="dxa" w:w="4252"/>
            <w:shd w:val="clear" w:color="auto" w:fill="D9E2F3"/>
          </w:tcPr>
          <w:p>
            <w:pPr>
              <w:spacing w:after="40"/>
              <w:jc w:val="center"/>
            </w:pPr>
            <w:r/>
            <w:r>
              <w:rPr>
                <w:b/>
                <w:sz w:val="20"/>
              </w:rPr>
              <w:t>Indicator</w:t>
            </w:r>
          </w:p>
        </w:tc>
        <w:tc>
          <w:tcPr>
            <w:tcW w:type="dxa" w:w="2381"/>
            <w:shd w:val="clear" w:color="auto" w:fill="D9E2F3"/>
          </w:tcPr>
          <w:p>
            <w:pPr>
              <w:spacing w:after="40"/>
              <w:jc w:val="center"/>
            </w:pPr>
            <w:r/>
            <w:r>
              <w:rPr>
                <w:b/>
                <w:sz w:val="20"/>
              </w:rPr>
              <w:t>Last 6 months</w:t>
              <w:br/>
              <w:t>(22 Mar – 22 Sep 2026)</w:t>
            </w:r>
          </w:p>
        </w:tc>
        <w:tc>
          <w:tcPr>
            <w:tcW w:type="dxa" w:w="2381"/>
            <w:shd w:val="clear" w:color="auto" w:fill="D9E2F3"/>
          </w:tcPr>
          <w:p>
            <w:pPr>
              <w:spacing w:after="40"/>
              <w:jc w:val="center"/>
            </w:pPr>
            <w:r/>
            <w:r>
              <w:rPr>
                <w:b/>
                <w:sz w:val="20"/>
              </w:rPr>
              <w:t>Since go-live</w:t>
              <w:br/>
              <w:t>(20 Feb – 22 Sep 2026)</w:t>
            </w:r>
          </w:p>
        </w:tc>
      </w:tr>
      <w:tr>
        <w:tc>
          <w:tcPr>
            <w:tcW w:type="dxa" w:w="4252"/>
          </w:tcPr>
          <w:p>
            <w:pPr>
              <w:spacing w:after="40"/>
              <w:jc w:val="left"/>
            </w:pPr>
            <w:r/>
            <w:r>
              <w:rPr>
                <w:b w:val="0"/>
                <w:sz w:val="20"/>
              </w:rPr>
              <w:t>Patient samples processed</w:t>
            </w:r>
          </w:p>
        </w:tc>
        <w:tc>
          <w:tcPr>
            <w:tcW w:type="dxa" w:w="2381"/>
          </w:tcPr>
          <w:p>
            <w:pPr>
              <w:spacing w:after="40"/>
              <w:jc w:val="center"/>
            </w:pPr>
            <w:r/>
            <w:r>
              <w:rPr>
                <w:b w:val="0"/>
                <w:sz w:val="20"/>
              </w:rPr>
              <w:t>3,196</w:t>
            </w:r>
          </w:p>
        </w:tc>
        <w:tc>
          <w:tcPr>
            <w:tcW w:type="dxa" w:w="2381"/>
          </w:tcPr>
          <w:p>
            <w:pPr>
              <w:spacing w:after="40"/>
              <w:jc w:val="center"/>
            </w:pPr>
            <w:r/>
            <w:r>
              <w:rPr>
                <w:b w:val="0"/>
                <w:sz w:val="20"/>
              </w:rPr>
              <w:t>3,479</w:t>
            </w:r>
          </w:p>
        </w:tc>
      </w:tr>
      <w:tr>
        <w:tc>
          <w:tcPr>
            <w:tcW w:type="dxa" w:w="4252"/>
            <w:shd w:val="clear" w:color="auto" w:fill="F2F2F2"/>
          </w:tcPr>
          <w:p>
            <w:pPr>
              <w:spacing w:after="40"/>
              <w:jc w:val="left"/>
            </w:pPr>
            <w:r/>
            <w:r>
              <w:rPr>
                <w:b w:val="0"/>
                <w:sz w:val="20"/>
              </w:rPr>
              <w:t>Biochemistry tests reported to patients</w:t>
            </w:r>
          </w:p>
        </w:tc>
        <w:tc>
          <w:tcPr>
            <w:tcW w:type="dxa" w:w="2381"/>
            <w:shd w:val="clear" w:color="auto" w:fill="F2F2F2"/>
          </w:tcPr>
          <w:p>
            <w:pPr>
              <w:spacing w:after="40"/>
              <w:jc w:val="center"/>
            </w:pPr>
            <w:r/>
            <w:r>
              <w:rPr>
                <w:b w:val="0"/>
                <w:sz w:val="20"/>
              </w:rPr>
              <w:t>9,240</w:t>
            </w:r>
          </w:p>
        </w:tc>
        <w:tc>
          <w:tcPr>
            <w:tcW w:type="dxa" w:w="2381"/>
            <w:shd w:val="clear" w:color="auto" w:fill="F2F2F2"/>
          </w:tcPr>
          <w:p>
            <w:pPr>
              <w:spacing w:after="40"/>
              <w:jc w:val="center"/>
            </w:pPr>
            <w:r/>
            <w:r>
              <w:rPr>
                <w:b w:val="0"/>
                <w:sz w:val="20"/>
              </w:rPr>
              <w:t>10,111</w:t>
            </w:r>
          </w:p>
        </w:tc>
      </w:tr>
      <w:tr>
        <w:tc>
          <w:tcPr>
            <w:tcW w:type="dxa" w:w="4252"/>
          </w:tcPr>
          <w:p>
            <w:pPr>
              <w:spacing w:after="40"/>
              <w:jc w:val="left"/>
            </w:pPr>
            <w:r/>
            <w:r>
              <w:rPr>
                <w:b w:val="0"/>
                <w:sz w:val="20"/>
              </w:rPr>
              <w:t>Total measurements incl. reruns and QC</w:t>
            </w:r>
          </w:p>
        </w:tc>
        <w:tc>
          <w:tcPr>
            <w:tcW w:type="dxa" w:w="2381"/>
          </w:tcPr>
          <w:p>
            <w:pPr>
              <w:spacing w:after="40"/>
              <w:jc w:val="center"/>
            </w:pPr>
            <w:r/>
            <w:r>
              <w:rPr>
                <w:b w:val="0"/>
                <w:sz w:val="20"/>
              </w:rPr>
              <w:t>10,856</w:t>
            </w:r>
          </w:p>
        </w:tc>
        <w:tc>
          <w:tcPr>
            <w:tcW w:type="dxa" w:w="2381"/>
          </w:tcPr>
          <w:p>
            <w:pPr>
              <w:spacing w:after="40"/>
              <w:jc w:val="center"/>
            </w:pPr>
            <w:r/>
            <w:r>
              <w:rPr>
                <w:b w:val="0"/>
                <w:sz w:val="20"/>
              </w:rPr>
              <w:t>11,807</w:t>
            </w:r>
          </w:p>
        </w:tc>
      </w:tr>
      <w:tr>
        <w:tc>
          <w:tcPr>
            <w:tcW w:type="dxa" w:w="4252"/>
            <w:shd w:val="clear" w:color="auto" w:fill="F2F2F2"/>
          </w:tcPr>
          <w:p>
            <w:pPr>
              <w:spacing w:after="40"/>
              <w:jc w:val="left"/>
            </w:pPr>
            <w:r/>
            <w:r>
              <w:rPr>
                <w:b w:val="0"/>
                <w:sz w:val="20"/>
              </w:rPr>
              <w:t>QC / control runs (normal + pathological)</w:t>
            </w:r>
          </w:p>
        </w:tc>
        <w:tc>
          <w:tcPr>
            <w:tcW w:type="dxa" w:w="2381"/>
            <w:shd w:val="clear" w:color="auto" w:fill="F2F2F2"/>
          </w:tcPr>
          <w:p>
            <w:pPr>
              <w:spacing w:after="40"/>
              <w:jc w:val="center"/>
            </w:pPr>
            <w:r/>
            <w:r>
              <w:rPr>
                <w:b w:val="0"/>
                <w:sz w:val="20"/>
              </w:rPr>
              <w:t>73</w:t>
            </w:r>
          </w:p>
        </w:tc>
        <w:tc>
          <w:tcPr>
            <w:tcW w:type="dxa" w:w="2381"/>
            <w:shd w:val="clear" w:color="auto" w:fill="F2F2F2"/>
          </w:tcPr>
          <w:p>
            <w:pPr>
              <w:spacing w:after="40"/>
              <w:jc w:val="center"/>
            </w:pPr>
            <w:r/>
            <w:r>
              <w:rPr>
                <w:b w:val="0"/>
                <w:sz w:val="20"/>
              </w:rPr>
              <w:t>82</w:t>
            </w:r>
          </w:p>
        </w:tc>
      </w:tr>
      <w:tr>
        <w:tc>
          <w:tcPr>
            <w:tcW w:type="dxa" w:w="4252"/>
          </w:tcPr>
          <w:p>
            <w:pPr>
              <w:spacing w:after="40"/>
              <w:jc w:val="left"/>
            </w:pPr>
            <w:r/>
            <w:r>
              <w:rPr>
                <w:b w:val="0"/>
                <w:sz w:val="20"/>
              </w:rPr>
              <w:t>Working days</w:t>
            </w:r>
          </w:p>
        </w:tc>
        <w:tc>
          <w:tcPr>
            <w:tcW w:type="dxa" w:w="2381"/>
          </w:tcPr>
          <w:p>
            <w:pPr>
              <w:spacing w:after="40"/>
              <w:jc w:val="center"/>
            </w:pPr>
            <w:r/>
            <w:r>
              <w:rPr>
                <w:b w:val="0"/>
                <w:sz w:val="20"/>
              </w:rPr>
              <w:t>147</w:t>
            </w:r>
          </w:p>
        </w:tc>
        <w:tc>
          <w:tcPr>
            <w:tcW w:type="dxa" w:w="2381"/>
          </w:tcPr>
          <w:p>
            <w:pPr>
              <w:spacing w:after="40"/>
              <w:jc w:val="center"/>
            </w:pPr>
            <w:r/>
            <w:r>
              <w:rPr>
                <w:b w:val="0"/>
                <w:sz w:val="20"/>
              </w:rPr>
              <w:t>169</w:t>
            </w:r>
          </w:p>
        </w:tc>
      </w:tr>
      <w:tr>
        <w:tc>
          <w:tcPr>
            <w:tcW w:type="dxa" w:w="4252"/>
            <w:shd w:val="clear" w:color="auto" w:fill="F2F2F2"/>
          </w:tcPr>
          <w:p>
            <w:pPr>
              <w:spacing w:after="40"/>
              <w:jc w:val="left"/>
            </w:pPr>
            <w:r/>
            <w:r>
              <w:rPr>
                <w:b w:val="0"/>
                <w:sz w:val="20"/>
              </w:rPr>
              <w:t>Average samples per working day</w:t>
            </w:r>
          </w:p>
        </w:tc>
        <w:tc>
          <w:tcPr>
            <w:tcW w:type="dxa" w:w="2381"/>
            <w:shd w:val="clear" w:color="auto" w:fill="F2F2F2"/>
          </w:tcPr>
          <w:p>
            <w:pPr>
              <w:spacing w:after="40"/>
              <w:jc w:val="center"/>
            </w:pPr>
            <w:r/>
            <w:r>
              <w:rPr>
                <w:b w:val="0"/>
                <w:sz w:val="20"/>
              </w:rPr>
              <w:t>21.7</w:t>
            </w:r>
          </w:p>
        </w:tc>
        <w:tc>
          <w:tcPr>
            <w:tcW w:type="dxa" w:w="2381"/>
            <w:shd w:val="clear" w:color="auto" w:fill="F2F2F2"/>
          </w:tcPr>
          <w:p>
            <w:pPr>
              <w:spacing w:after="40"/>
              <w:jc w:val="center"/>
            </w:pPr>
            <w:r/>
            <w:r>
              <w:rPr>
                <w:b w:val="0"/>
                <w:sz w:val="20"/>
              </w:rPr>
              <w:t>20.6</w:t>
            </w:r>
          </w:p>
        </w:tc>
      </w:tr>
      <w:tr>
        <w:tc>
          <w:tcPr>
            <w:tcW w:type="dxa" w:w="4252"/>
          </w:tcPr>
          <w:p>
            <w:pPr>
              <w:spacing w:after="40"/>
              <w:jc w:val="left"/>
            </w:pPr>
            <w:r/>
            <w:r>
              <w:rPr>
                <w:b w:val="0"/>
                <w:sz w:val="20"/>
              </w:rPr>
              <w:t>Average tests per working day</w:t>
            </w:r>
          </w:p>
        </w:tc>
        <w:tc>
          <w:tcPr>
            <w:tcW w:type="dxa" w:w="2381"/>
          </w:tcPr>
          <w:p>
            <w:pPr>
              <w:spacing w:after="40"/>
              <w:jc w:val="center"/>
            </w:pPr>
            <w:r/>
            <w:r>
              <w:rPr>
                <w:b w:val="0"/>
                <w:sz w:val="20"/>
              </w:rPr>
              <w:t>62.9</w:t>
            </w:r>
          </w:p>
        </w:tc>
        <w:tc>
          <w:tcPr>
            <w:tcW w:type="dxa" w:w="2381"/>
          </w:tcPr>
          <w:p>
            <w:pPr>
              <w:spacing w:after="40"/>
              <w:jc w:val="center"/>
            </w:pPr>
            <w:r/>
            <w:r>
              <w:rPr>
                <w:b w:val="0"/>
                <w:sz w:val="20"/>
              </w:rPr>
              <w:t>59.8</w:t>
            </w:r>
          </w:p>
        </w:tc>
      </w:tr>
      <w:tr>
        <w:tc>
          <w:tcPr>
            <w:tcW w:type="dxa" w:w="4252"/>
            <w:shd w:val="clear" w:color="auto" w:fill="F2F2F2"/>
          </w:tcPr>
          <w:p>
            <w:pPr>
              <w:spacing w:after="40"/>
              <w:jc w:val="left"/>
            </w:pPr>
            <w:r/>
            <w:r>
              <w:rPr>
                <w:b w:val="0"/>
                <w:sz w:val="20"/>
              </w:rPr>
              <w:t>Average tests per month</w:t>
            </w:r>
          </w:p>
        </w:tc>
        <w:tc>
          <w:tcPr>
            <w:tcW w:type="dxa" w:w="2381"/>
            <w:shd w:val="clear" w:color="auto" w:fill="F2F2F2"/>
          </w:tcPr>
          <w:p>
            <w:pPr>
              <w:spacing w:after="40"/>
              <w:jc w:val="center"/>
            </w:pPr>
            <w:r/>
            <w:r>
              <w:rPr>
                <w:b w:val="0"/>
                <w:sz w:val="20"/>
              </w:rPr>
              <w:t>≈ 1,320</w:t>
            </w:r>
          </w:p>
        </w:tc>
        <w:tc>
          <w:tcPr>
            <w:tcW w:type="dxa" w:w="2381"/>
            <w:shd w:val="clear" w:color="auto" w:fill="F2F2F2"/>
          </w:tcPr>
          <w:p>
            <w:pPr>
              <w:spacing w:after="40"/>
              <w:jc w:val="center"/>
            </w:pPr>
            <w:r/>
            <w:r>
              <w:rPr>
                <w:b w:val="0"/>
                <w:sz w:val="20"/>
              </w:rPr>
              <w:t>≈ 1,264</w:t>
            </w:r>
          </w:p>
        </w:tc>
      </w:tr>
      <w:tr>
        <w:tc>
          <w:tcPr>
            <w:tcW w:type="dxa" w:w="4252"/>
          </w:tcPr>
          <w:p>
            <w:pPr>
              <w:spacing w:after="40"/>
              <w:jc w:val="left"/>
            </w:pPr>
            <w:r/>
            <w:r>
              <w:rPr>
                <w:b w:val="0"/>
                <w:sz w:val="20"/>
              </w:rPr>
              <w:t>Average tests per sample</w:t>
            </w:r>
          </w:p>
        </w:tc>
        <w:tc>
          <w:tcPr>
            <w:tcW w:type="dxa" w:w="2381"/>
          </w:tcPr>
          <w:p>
            <w:pPr>
              <w:spacing w:after="40"/>
              <w:jc w:val="center"/>
            </w:pPr>
            <w:r/>
            <w:r>
              <w:rPr>
                <w:b w:val="0"/>
                <w:sz w:val="20"/>
              </w:rPr>
              <w:t>2.9</w:t>
            </w:r>
          </w:p>
        </w:tc>
        <w:tc>
          <w:tcPr>
            <w:tcW w:type="dxa" w:w="2381"/>
          </w:tcPr>
          <w:p>
            <w:pPr>
              <w:spacing w:after="40"/>
              <w:jc w:val="center"/>
            </w:pPr>
            <w:r/>
            <w:r>
              <w:rPr>
                <w:b w:val="0"/>
                <w:sz w:val="20"/>
              </w:rPr>
              <w:t>2.9</w:t>
            </w:r>
          </w:p>
        </w:tc>
      </w:tr>
      <w:tr>
        <w:tc>
          <w:tcPr>
            <w:tcW w:type="dxa" w:w="4252"/>
            <w:shd w:val="clear" w:color="auto" w:fill="F2F2F2"/>
          </w:tcPr>
          <w:p>
            <w:pPr>
              <w:spacing w:after="40"/>
              <w:jc w:val="left"/>
            </w:pPr>
            <w:r/>
            <w:r>
              <w:rPr>
                <w:b w:val="0"/>
                <w:sz w:val="20"/>
              </w:rPr>
              <w:t>Peak day (15 June 2026)</w:t>
            </w:r>
          </w:p>
        </w:tc>
        <w:tc>
          <w:tcPr>
            <w:tcW w:type="dxa" w:w="2381"/>
            <w:shd w:val="clear" w:color="auto" w:fill="F2F2F2"/>
          </w:tcPr>
          <w:p>
            <w:pPr>
              <w:spacing w:after="40"/>
              <w:jc w:val="center"/>
            </w:pPr>
            <w:r/>
            <w:r>
              <w:rPr>
                <w:b w:val="0"/>
                <w:sz w:val="20"/>
              </w:rPr>
              <w:t>39 samples / 158 tests</w:t>
            </w:r>
          </w:p>
        </w:tc>
        <w:tc>
          <w:tcPr>
            <w:tcW w:type="dxa" w:w="2381"/>
            <w:shd w:val="clear" w:color="auto" w:fill="F2F2F2"/>
          </w:tcPr>
          <w:p>
            <w:pPr>
              <w:spacing w:after="40"/>
              <w:jc w:val="center"/>
            </w:pPr>
            <w:r/>
            <w:r>
              <w:rPr>
                <w:b w:val="0"/>
                <w:sz w:val="20"/>
              </w:rPr>
              <w:t>—</w:t>
            </w:r>
          </w:p>
        </w:tc>
      </w:tr>
      <w:tr>
        <w:tc>
          <w:tcPr>
            <w:tcW w:type="dxa" w:w="4252"/>
          </w:tcPr>
          <w:p>
            <w:pPr>
              <w:spacing w:after="40"/>
              <w:jc w:val="left"/>
            </w:pPr>
            <w:r/>
            <w:r>
              <w:rPr>
                <w:b w:val="0"/>
                <w:sz w:val="20"/>
              </w:rPr>
              <w:t>Distinct analytes in routine use</w:t>
            </w:r>
          </w:p>
        </w:tc>
        <w:tc>
          <w:tcPr>
            <w:tcW w:type="dxa" w:w="2381"/>
          </w:tcPr>
          <w:p>
            <w:pPr>
              <w:spacing w:after="40"/>
              <w:jc w:val="center"/>
            </w:pPr>
            <w:r/>
            <w:r>
              <w:rPr>
                <w:b w:val="0"/>
                <w:sz w:val="20"/>
              </w:rPr>
              <w:t>26</w:t>
            </w:r>
          </w:p>
        </w:tc>
        <w:tc>
          <w:tcPr>
            <w:tcW w:type="dxa" w:w="2381"/>
          </w:tcPr>
          <w:p>
            <w:pPr>
              <w:spacing w:after="40"/>
              <w:jc w:val="center"/>
            </w:pPr>
            <w:r/>
            <w:r>
              <w:rPr>
                <w:b w:val="0"/>
                <w:sz w:val="20"/>
              </w:rPr>
              <w:t>26</w:t>
            </w:r>
          </w:p>
        </w:tc>
      </w:tr>
    </w:tbl>
    <w:p>
      <w:pPr>
        <w:spacing w:after="80"/>
      </w:pPr>
    </w:p>
    <w:p>
      <w:pPr>
        <w:spacing w:after="160" w:before="0"/>
      </w:pPr>
      <w:r>
        <w:rPr>
          <w:b w:val="0"/>
          <w:i w:val="0"/>
        </w:rPr>
        <w:t>The most frequently performed assays are ALT, glucose, creatinine, urea, total and direct bilirubin, iron, AST, total protein, CRP, ASO and rheumatoid factor. Daily quality control with normal and pathological control sera has been stable throughout the whole period.</w:t>
      </w:r>
    </w:p>
    <w:p>
      <w:pPr>
        <w:spacing w:before="240" w:after="120"/>
      </w:pPr>
      <w:r>
        <w:rPr>
          <w:b/>
          <w:color w:val="1F4E79"/>
          <w:sz w:val="24"/>
        </w:rPr>
        <w:t>2. Request: sample barcode reader and bidirectional (host query) operation</w:t>
      </w:r>
    </w:p>
    <w:p>
      <w:pPr>
        <w:spacing w:after="160" w:before="0"/>
      </w:pPr>
      <w:r>
        <w:rPr>
          <w:b w:val="0"/>
          <w:i w:val="0"/>
        </w:rPr>
        <w:t>Our workload is growing, and sample identification has become the weakest point of our workflow. At present the operator types a short position number (1, 2, 3 …) on the analyzer for every sample, and our LIS matches the incoming results to the patient by that number. Over the last six months this number has been entered manually about 3,200 times. It works, but it depends entirely on the operator: a single mistyped position would assign one patient’s results to another patient’s record.</w:t>
      </w:r>
    </w:p>
    <w:p>
      <w:pPr>
        <w:spacing w:after="160" w:before="0"/>
      </w:pPr>
      <w:r>
        <w:rPr>
          <w:b w:val="0"/>
          <w:i w:val="0"/>
        </w:rPr>
        <w:t>We would therefore like to ask whether the BK-280 is available in — or can be upgraded to — a configuration with a sample barcode reader, so that the analyzer reads the tube label and requests the test list from our LIS automatically.</w:t>
      </w:r>
    </w:p>
    <w:p>
      <w:pPr>
        <w:spacing w:after="160" w:before="120"/>
      </w:pPr>
      <w:r>
        <w:rPr>
          <w:b/>
          <w:i w:val="0"/>
        </w:rPr>
        <w:t>Work already completed on our side (our LIS is ready today):</w:t>
      </w:r>
    </w:p>
    <w:p>
      <w:pPr>
        <w:pStyle w:val="ListBullet"/>
        <w:spacing w:after="80"/>
      </w:pPr>
      <w:r>
        <w:t>Our LIS runs its own HL7 v2.3.1 / MLLP server. Port 8087 receives results (ORU^R01), and port 8088 is already open and listening for sample queries from the analyzer.</w:t>
      </w:r>
    </w:p>
    <w:p>
      <w:pPr>
        <w:pStyle w:val="ListBullet"/>
        <w:spacing w:after="80"/>
      </w:pPr>
      <w:r>
        <w:t>The host-query (bidirectional) logic is fully implemented and running in production: QRY^Q02 → QCK^Q02 + DSR^Q03 in the Mindray/Biobase format (29 DSP segments plus one DSP per ordered test, "channel^name^unit^reference range"). ORM^O01 → ORR^O02 and the ASTM query (Q → H/P/O/L) are also implemented, in case your firmware uses one of those instead.</w:t>
      </w:r>
    </w:p>
    <w:p>
      <w:pPr>
        <w:pStyle w:val="ListBullet"/>
        <w:spacing w:after="80"/>
      </w:pPr>
      <w:r>
        <w:t>The test code map is complete and verified against your instrument: our catalogue items are already linked to the BK-280 channel numbers in daily use (e.g. 236 ALT, 246 AST, 272 glucose, 313 urea, 323 creatinine, 320/321 total and direct bilirubin, 317 total protein, 267 iron, 322 CRP, 245 ASO, 305 RF) — 26 analytes in total.</w:t>
      </w:r>
    </w:p>
    <w:p>
      <w:pPr>
        <w:pStyle w:val="ListBullet"/>
        <w:spacing w:after="80"/>
      </w:pPr>
      <w:r>
        <w:t>Barcode labels are already printed at patient registration. Every sample carries a unique barcode ID, and the LIS can instantly return the patient name, sex, age and the ordered test list for that barcode.</w:t>
      </w:r>
    </w:p>
    <w:p>
      <w:pPr>
        <w:pStyle w:val="ListBullet"/>
        <w:spacing w:after="80"/>
      </w:pPr>
      <w:r>
        <w:t>Our LIS log confirms that the query port has never received a single query message from the analyzer (0 queries in 7 months) — simply because the instrument has no barcode reader to send one. Everything else on the LIS side is in place and tested.</w:t>
      </w:r>
    </w:p>
    <w:p>
      <w:pPr>
        <w:spacing w:after="160" w:before="80"/>
      </w:pPr>
      <w:r>
        <w:rPr>
          <w:b w:val="0"/>
          <w:i/>
        </w:rPr>
        <w:t>In other words, as soon as the analyzer is able to read a tube barcode and send a query, our system will answer it immediately and the worklist will be loaded automatically. No software development on our side is required.</w:t>
      </w:r>
    </w:p>
    <w:p>
      <w:pPr>
        <w:spacing w:after="160" w:before="120"/>
      </w:pPr>
      <w:r>
        <w:rPr>
          <w:b/>
          <w:i w:val="0"/>
        </w:rPr>
        <w:t>Accordingly, we kindly ask you to advise:</w:t>
      </w:r>
    </w:p>
    <w:p>
      <w:pPr>
        <w:pStyle w:val="ListBullet"/>
        <w:spacing w:after="80"/>
      </w:pPr>
      <w:r>
        <w:t>Is a barcode-reader version of the BK-280 available, and can a reader be retrofitted to our existing instrument (S/N: [S/N])?</w:t>
      </w:r>
    </w:p>
    <w:p>
      <w:pPr>
        <w:pStyle w:val="ListBullet"/>
        <w:spacing w:after="80"/>
      </w:pPr>
      <w:r>
        <w:t>If yes, please quote the barcode reader kit and any firmware or software upgrade it requires, including part numbers, price, delivery time to Uzbekistan, and whether installation requires a service engineer on site or can be carried out by us with your remote guidance.</w:t>
      </w:r>
    </w:p>
    <w:p>
      <w:pPr>
        <w:pStyle w:val="ListBullet"/>
        <w:spacing w:after="80"/>
      </w:pPr>
      <w:r>
        <w:t>Please also confirm the supported barcode symbologies and the maximum label length (we currently use Code 128), and send us the LIS communication manual for the query (bidirectional) mode of the BK-280.</w:t>
      </w:r>
    </w:p>
    <w:p>
      <w:pPr>
        <w:pStyle w:val="ListBullet"/>
        <w:spacing w:after="80"/>
      </w:pPr>
      <w:r>
        <w:t>If a retrofit is not possible for our model, please let us know which Biobase model supports sample barcode reading with host query, as we are planning to expand our biochemistry capacity.</w:t>
      </w:r>
    </w:p>
    <w:p>
      <w:pPr>
        <w:spacing w:before="240" w:after="120"/>
      </w:pPr>
      <w:r>
        <w:rPr>
          <w:b/>
          <w:color w:val="1F4E79"/>
          <w:sz w:val="24"/>
        </w:rPr>
        <w:t>3. Request: spare parts</w:t>
      </w:r>
    </w:p>
    <w:p>
      <w:pPr>
        <w:spacing w:after="160" w:before="0"/>
      </w:pPr>
      <w:r>
        <w:rPr>
          <w:b w:val="0"/>
          <w:i w:val="0"/>
        </w:rPr>
        <w:t>To ensure uninterrupted operation, we keep a stock of spare parts on site. Most of the parts we need are already available; however, we have no spare lamps and no spare sample needle. We kindly ask you to supply the following in one shipment:</w:t>
      </w:r>
    </w:p>
    <w:tbl>
      <w:tblPr>
        <w:tblStyle w:val="TableGrid"/>
        <w:tblW w:type="auto" w:w="0"/>
        <w:jc w:val="center"/>
        <w:tblLook w:firstColumn="1" w:firstRow="1" w:lastColumn="0" w:lastRow="0" w:noHBand="0" w:noVBand="1" w:val="04A0"/>
      </w:tblPr>
      <w:tblGrid>
        <w:gridCol w:w="3230"/>
        <w:gridCol w:w="3230"/>
        <w:gridCol w:w="3230"/>
      </w:tblGrid>
      <w:tr>
        <w:tc>
          <w:tcPr>
            <w:tcW w:type="dxa" w:w="850"/>
            <w:shd w:val="clear" w:color="auto" w:fill="D9E2F3"/>
          </w:tcPr>
          <w:p>
            <w:pPr>
              <w:spacing w:after="40"/>
              <w:jc w:val="center"/>
            </w:pPr>
            <w:r/>
            <w:r>
              <w:rPr>
                <w:b/>
                <w:sz w:val="20"/>
              </w:rPr>
              <w:t>No.</w:t>
            </w:r>
          </w:p>
        </w:tc>
        <w:tc>
          <w:tcPr>
            <w:tcW w:type="dxa" w:w="6350"/>
            <w:shd w:val="clear" w:color="auto" w:fill="D9E2F3"/>
          </w:tcPr>
          <w:p>
            <w:pPr>
              <w:spacing w:after="40"/>
              <w:jc w:val="center"/>
            </w:pPr>
            <w:r/>
            <w:r>
              <w:rPr>
                <w:b/>
                <w:sz w:val="20"/>
              </w:rPr>
              <w:t>Spare part</w:t>
            </w:r>
          </w:p>
        </w:tc>
        <w:tc>
          <w:tcPr>
            <w:tcW w:type="dxa" w:w="1814"/>
            <w:shd w:val="clear" w:color="auto" w:fill="D9E2F3"/>
          </w:tcPr>
          <w:p>
            <w:pPr>
              <w:spacing w:after="40"/>
              <w:jc w:val="center"/>
            </w:pPr>
            <w:r/>
            <w:r>
              <w:rPr>
                <w:b/>
                <w:sz w:val="20"/>
              </w:rPr>
              <w:t>Quantity</w:t>
            </w:r>
          </w:p>
        </w:tc>
      </w:tr>
      <w:tr>
        <w:tc>
          <w:tcPr>
            <w:tcW w:type="dxa" w:w="850"/>
          </w:tcPr>
          <w:p>
            <w:pPr>
              <w:spacing w:after="40"/>
              <w:jc w:val="center"/>
            </w:pPr>
            <w:r/>
            <w:r>
              <w:rPr>
                <w:b w:val="0"/>
                <w:sz w:val="20"/>
              </w:rPr>
              <w:t>1</w:t>
            </w:r>
          </w:p>
        </w:tc>
        <w:tc>
          <w:tcPr>
            <w:tcW w:type="dxa" w:w="6350"/>
          </w:tcPr>
          <w:p>
            <w:pPr>
              <w:spacing w:after="40"/>
              <w:jc w:val="left"/>
            </w:pPr>
            <w:r/>
            <w:r>
              <w:rPr>
                <w:b w:val="0"/>
                <w:sz w:val="20"/>
              </w:rPr>
              <w:t>Halogen lamp for BK-280 (photometer light source)</w:t>
            </w:r>
          </w:p>
        </w:tc>
        <w:tc>
          <w:tcPr>
            <w:tcW w:type="dxa" w:w="1814"/>
          </w:tcPr>
          <w:p>
            <w:pPr>
              <w:spacing w:after="40"/>
              <w:jc w:val="center"/>
            </w:pPr>
            <w:r/>
            <w:r>
              <w:rPr>
                <w:b w:val="0"/>
                <w:sz w:val="20"/>
              </w:rPr>
              <w:t>2 (two) pcs</w:t>
            </w:r>
          </w:p>
        </w:tc>
      </w:tr>
      <w:tr>
        <w:tc>
          <w:tcPr>
            <w:tcW w:type="dxa" w:w="850"/>
            <w:shd w:val="clear" w:color="auto" w:fill="F2F2F2"/>
          </w:tcPr>
          <w:p>
            <w:pPr>
              <w:spacing w:after="40"/>
              <w:jc w:val="center"/>
            </w:pPr>
            <w:r/>
            <w:r>
              <w:rPr>
                <w:b w:val="0"/>
                <w:sz w:val="20"/>
              </w:rPr>
              <w:t>2</w:t>
            </w:r>
          </w:p>
        </w:tc>
        <w:tc>
          <w:tcPr>
            <w:tcW w:type="dxa" w:w="6350"/>
            <w:shd w:val="clear" w:color="auto" w:fill="F2F2F2"/>
          </w:tcPr>
          <w:p>
            <w:pPr>
              <w:spacing w:after="40"/>
              <w:jc w:val="left"/>
            </w:pPr>
            <w:r/>
            <w:r>
              <w:rPr>
                <w:b w:val="0"/>
                <w:sz w:val="20"/>
              </w:rPr>
              <w:t>Sample / reagent probe (needle) for BK-280</w:t>
            </w:r>
          </w:p>
        </w:tc>
        <w:tc>
          <w:tcPr>
            <w:tcW w:type="dxa" w:w="1814"/>
            <w:shd w:val="clear" w:color="auto" w:fill="F2F2F2"/>
          </w:tcPr>
          <w:p>
            <w:pPr>
              <w:spacing w:after="40"/>
              <w:jc w:val="center"/>
            </w:pPr>
            <w:r/>
            <w:r>
              <w:rPr>
                <w:b w:val="0"/>
                <w:sz w:val="20"/>
              </w:rPr>
              <w:t>1 (one) pc</w:t>
            </w:r>
          </w:p>
        </w:tc>
      </w:tr>
    </w:tbl>
    <w:p>
      <w:pPr>
        <w:spacing w:after="80"/>
      </w:pPr>
    </w:p>
    <w:p>
      <w:pPr>
        <w:spacing w:after="160" w:before="0"/>
      </w:pPr>
      <w:r>
        <w:rPr>
          <w:b w:val="0"/>
          <w:i w:val="0"/>
        </w:rPr>
        <w:t>Please include these parts, together with the barcode reader kit if it is available, in a single proforma invoice showing prices, availability and estimated delivery time to Uzbekistan, and state the exact part numbers so that we can confirm compatibility with our instrument.</w:t>
      </w:r>
    </w:p>
    <w:p>
      <w:pPr>
        <w:spacing w:after="160" w:before="120"/>
      </w:pPr>
      <w:r>
        <w:rPr>
          <w:b w:val="0"/>
          <w:i w:val="0"/>
        </w:rPr>
        <w:t>Thank you once again for your cooperation and support. We value our partnership with Biobase, we are ready to continue and expand it, and we look forward to your reply.</w:t>
      </w:r>
    </w:p>
    <w:p>
      <w:pPr>
        <w:spacing w:after="560" w:before="280"/>
      </w:pPr>
      <w:r>
        <w:rPr>
          <w:b w:val="0"/>
          <w:i w:val="0"/>
        </w:rPr>
        <w:t>Yours sincerely,</w:t>
      </w:r>
    </w:p>
    <w:p>
      <w:pPr>
        <w:spacing w:after="40" w:before="0"/>
      </w:pPr>
      <w:r>
        <w:rPr>
          <w:b w:val="0"/>
          <w:i w:val="0"/>
        </w:rPr>
        <w:t>[Full name]</w:t>
      </w:r>
    </w:p>
    <w:p>
      <w:pPr>
        <w:spacing w:after="40" w:before="0"/>
      </w:pPr>
      <w:r>
        <w:rPr>
          <w:b w:val="0"/>
          <w:i w:val="0"/>
        </w:rPr>
        <w:t>[Position — Director / Head of Laboratory]</w:t>
      </w:r>
    </w:p>
    <w:p>
      <w:pPr>
        <w:spacing w:after="40" w:before="0"/>
      </w:pPr>
      <w:r>
        <w:rPr>
          <w:b w:val="0"/>
          <w:i w:val="0"/>
        </w:rPr>
        <w:t>AzizMedLine Medical Laboratory</w:t>
      </w:r>
    </w:p>
    <w:p>
      <w:pPr>
        <w:spacing w:after="160" w:before="0"/>
      </w:pPr>
      <w:r>
        <w:rPr>
          <w:b w:val="0"/>
          <w:i w:val="0"/>
        </w:rPr>
        <w:t>[Phone] · [E-mail]</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