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[COMPANY NAME / LOGO HERE]</w:t>
      </w:r>
    </w:p>
    <w:p>
      <w:pPr>
        <w:pStyle w:val="Title"/>
        <w:spacing w:after="240" w:before="12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Medical Spa &amp; Aesthetic Practice Operations
Standard Operating Procedures &amp; Employee Handbook</w:t>
      </w:r>
    </w:p>
    <w:p>
      <w:pPr>
        <w:spacing w:after="360" w:before="12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Standard Version 2026.1 | Compliance Certification: HIPAA &amp; OSHA Healthcare Standard Compliant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Target Sector:</w:t>
            </w:r>
            <w:r>
              <w:rPr>
                <w:sz w:val="20"/>
                <w:szCs w:val="20"/>
              </w:rPr>
              <w:t xml:space="preserve"> Medical Spa &amp; Aesthetic Practice Operations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Classification:</w:t>
            </w:r>
            <w:r>
              <w:rPr>
                <w:sz w:val="20"/>
                <w:szCs w:val="20"/>
              </w:rPr>
              <w:t xml:space="preserve"> Healthcare / Medical Aesthetics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Standard SOP Modules:</w:t>
            </w:r>
            <w:r>
              <w:rPr>
                <w:sz w:val="20"/>
                <w:szCs w:val="20"/>
              </w:rPr>
              <w:t xml:space="preserve"> 42 Written Protocols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Avg. Onboarding Ramp:</w:t>
            </w:r>
            <w:r>
              <w:rPr>
                <w:sz w:val="20"/>
                <w:szCs w:val="20"/>
              </w:rPr>
              <w:t xml:space="preserve"> Reduced by 12 Days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PART I: EMPLOYEE HANDBOOK &amp; WORKPLACE POLICIES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Section 1: Clinical Governance &amp; Medical Director Delegations</w:t>
      </w:r>
    </w:p>
    <w:p>
      <w:pPr>
        <w:spacing w:after="180" w:before="6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Defines physician oversight, mid-level provider scopes of practice, and emergency intervention protocols.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• Scope of Practice &amp; Supervisory Standing Orders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All Nurse Practitioners and Registered Nurses must operate under signed standing medical protocols.</w:t>
      </w:r>
    </w:p>
    <w:p>
      <w:pPr>
        <w:spacing w:after="180" w:before="0"/>
        <w:ind w:left="360"/>
      </w:pP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Mandatory Standard: 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No neurotoxin or dermal filler administration without completed Good Faith Exam (GFE) on record.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• Vascular Occlusion &amp; Hyaluronidase Emergency Protocol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Immediate mandatory response in the event of suspected intravascular injection of HA filler.</w:t>
      </w:r>
    </w:p>
    <w:p>
      <w:pPr>
        <w:spacing w:after="180" w:before="0"/>
        <w:ind w:left="360"/>
      </w:pP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Mandatory Standard: 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Emergency crash kit kept fully stocked with 1,500 units of Hylenex, warm compresses, and oral ASA.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Section 2: Patient Privacy, Photography &amp; HIPAA Compliance</w:t>
      </w:r>
    </w:p>
    <w:p>
      <w:pPr>
        <w:spacing w:after="180" w:before="6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Enforces federal safeguards regarding before/after clinical photography and confidential treatment charts.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• Clinical Photography Consent &amp; Watermarking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Signed media releases must differentiate between internal medical records and public social media.</w:t>
      </w:r>
    </w:p>
    <w:p>
      <w:pPr>
        <w:spacing w:after="180" w:before="0"/>
        <w:ind w:left="360"/>
      </w:pP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Mandatory Standard: 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Photos taken strictly on encrypted enterprise iPad; personal employee smartphones strictly prohibited.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PART II: STANDARD OPERATING PROCEDURES (SOP) EXECUTION GUIDES</w:t>
      </w:r>
    </w:p>
    <w:p>
      <w:pPr>
        <w:pStyle w:val="Heading2"/>
        <w:spacing w:after="6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[SOP-MED-02] Neurotoxin (Botox / Dysport) Reconstitution &amp; Cold Chain Log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Department: Clinical Aesthetics | Frequency: Daily | Responsibility: Aesthetic RN / Clinical Lead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Objective: </w:t>
      </w:r>
      <w:r>
        <w:rPr>
          <w:rFonts w:ascii="Calibri" w:cs="Calibri" w:eastAsia="Calibri" w:hAnsi="Calibri"/>
          <w:sz w:val="20"/>
          <w:szCs w:val="20"/>
        </w:rPr>
        <w:t xml:space="preserve">Preserve pharmaceutical efficacy, maintain cold-chain continuity, and track lot expiration dates.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Standard Step-by-Step Procedure: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Verify refrigeration temp between 2°C - 8°C (36°F - 46°F) and record on daily pharmaceutical log.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Inspect vacuum seal on new 100-unit Allergan Botox vial before popping aluminum cap.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Draw exactly 2.5 mL of sterile, preserved 0.9% Sodium Chloride into reconstitution syringe.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Angle syringe at 45° against glass vial wall; allow vacuum to slowly pull diluent to avoid protein foaming.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5. </w:t>
      </w:r>
      <w:r>
        <w:rPr>
          <w:rFonts w:ascii="Calibri" w:cs="Calibri" w:eastAsia="Calibri" w:hAnsi="Calibri"/>
          <w:sz w:val="20"/>
          <w:szCs w:val="20"/>
        </w:rPr>
        <w:t xml:space="preserve">Gently rotate vial between palms; do not shake violently.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6. </w:t>
      </w:r>
      <w:r>
        <w:rPr>
          <w:rFonts w:ascii="Calibri" w:cs="Calibri" w:eastAsia="Calibri" w:hAnsi="Calibri"/>
          <w:sz w:val="20"/>
          <w:szCs w:val="20"/>
        </w:rPr>
        <w:t xml:space="preserve">Label vial with exact date, reconstitution time, injector initials, and expiration deadline (discard after 48 hours).</w:t>
      </w:r>
    </w:p>
    <w:p>
      <w:pPr>
        <w:spacing w:after="240" w:before="1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Safety &amp; Compliance Requirement: Maintain dual-signer narcotics / injectable tracking sheet in double-locked medication cabinet.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PART III: DAILY AUDIT PUNCHLISTS &amp; OPERATIONAL LOGS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Clinical Morning Opening &amp; Sterilization Room Audit (08:00 AM - 09:00 AM)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Autoclave biological indicator test run and verified negative for bacterial spores.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Treatment rooms restocked with disposable drape sheets, sterile gauze, and chlorhexidine prep pads.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Sharps disposal containers inspected; replaced if exceeding the 3/4 fill capacity line.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Laser calibration self-test performed and recorded on manufacturer maintenance log.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EMR schedule audited for unreviewed medical history updates or allergy warnings.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EMPLOYEE ACKNOWLEDGMENT &amp; SIGN-OFF FORM</w:t>
      </w:r>
    </w:p>
    <w:p>
      <w:pPr>
        <w:spacing w:after="240" w:before="120"/>
      </w:pPr>
      <w:r>
        <w:rPr>
          <w:rFonts w:ascii="Calibri" w:cs="Calibri" w:eastAsia="Calibri" w:hAnsi="Calibri"/>
          <w:sz w:val="20"/>
          <w:szCs w:val="20"/>
        </w:rPr>
        <w:t xml:space="preserve">I acknowledge that I have received, reviewed, and agree to abide by the policies, safety standards, and Standard Operating Procedures (SOPs) set forth in this operations manual. I understand that my employment remains at-will and that failure to adhere to these operating standards may result in corrective coaching up to and including termination of employment.</w:t>
      </w:r>
    </w:p>
    <w:p>
      <w:pPr>
        <w:spacing w:after="120" w:before="360"/>
      </w:pPr>
      <w:r>
        <w:rPr>
          <w:b/>
          <w:bCs/>
          <w:sz w:val="20"/>
          <w:szCs w:val="20"/>
        </w:rPr>
        <w:t xml:space="preserve">___________________________________________________        __________________</w:t>
      </w:r>
    </w:p>
    <w:p>
      <w:pPr>
        <w:spacing w:after="240" w:before="0"/>
      </w:pPr>
      <w:r>
        <w:rPr>
          <w:color w:val="475569"/>
          <w:sz w:val="18"/>
          <w:szCs w:val="18"/>
        </w:rPr>
        <w:t xml:space="preserve">Employee Printed Full Name &amp; Signature                                        Date Signed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Confidential - For Internal Operating Use Only • </w:t>
    </w:r>
    <w:r>
      <w:rPr>
        <w:rFonts w:ascii="Calibri" w:cs="Calibri" w:eastAsia="Calibri" w:hAnsi="Calibri"/>
        <w:color w:val="475569"/>
        <w:sz w:val="16"/>
        <w:szCs w:val="16"/>
      </w:rPr>
      <w:t xml:space="preserve">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  <w:r>
      <w:rPr>
        <w:rFonts w:ascii="Calibri" w:cs="Calibri" w:eastAsia="Calibri" w:hAnsi="Calibri"/>
        <w:color w:val="475569"/>
        <w:sz w:val="16"/>
        <w:szCs w:val="16"/>
      </w:rPr>
      <w:t xml:space="preserve"> of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MEDICAL SPA &amp; AESTHETIC PRACTICE OPERATIONS • OPERATIONS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Spa &amp; Aesthetic Practice Operations - Standard Operating Procedures &amp; Employee Handbook</dc:title>
  <dc:creator>OpsManual Pro Enterprise Systems</dc:creator>
  <dc:description>Official enterprise operations manual and employee handbook for Medical Spa &amp; Aesthetic Practice Operations.</dc:description>
  <cp:lastModifiedBy>Un-named</cp:lastModifiedBy>
  <cp:revision>1</cp:revision>
  <dcterms:created xsi:type="dcterms:W3CDTF">2026-10-23T12:08:09.749Z</dcterms:created>
  <dcterms:modified xsi:type="dcterms:W3CDTF">2026-10-23T12:08:09.749Z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