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[ENTERPRISE WORKSPACE / FIRM NAME HERE]</w:t>
      </w:r>
    </w:p>
    <w:p>
      <w:pPr>
        <w:pStyle w:val="Title"/>
        <w:spacing w:after="240" w:before="18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Commercial Real Estate Broker &amp; Investment Sales Lead
AI Operating System &amp; Master Prompt Playbook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2026.1 • Regulatory Accreditation: CCIM Commercial Investment Analysis Aligned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Professional Role:</w:t>
            </w:r>
            <w:r>
              <w:rPr>
                <w:sz w:val="20"/>
                <w:szCs w:val="20"/>
              </w:rPr>
              <w:t xml:space="preserve"> Commercial Real Estate Broker &amp; Investment Sales Lead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Industry Sector:</w:t>
            </w:r>
            <w:r>
              <w:rPr>
                <w:sz w:val="20"/>
                <w:szCs w:val="20"/>
              </w:rPr>
              <w:t xml:space="preserve"> Commercial Real Estate, NNN &amp; Multifamily Assets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Weekly Time Saved:</w:t>
            </w:r>
            <w:r>
              <w:rPr>
                <w:sz w:val="20"/>
                <w:szCs w:val="20"/>
              </w:rPr>
              <w:t xml:space="preserve"> ~15 Hours / Week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Estimated Monthly Value:</w:t>
            </w:r>
            <w:r>
              <w:rPr>
                <w:sz w:val="20"/>
                <w:szCs w:val="20"/>
              </w:rPr>
              <w:t xml:space="preserve"> $11,700 / Month</w:t>
            </w:r>
          </w:p>
        </w:tc>
      </w:tr>
    </w:tbl>
    <w:p>
      <w:pPr>
        <w:spacing w:after="240" w:before="3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COMMERCIAL LICENSE &amp; CONFIDENTIALITY NOTICE:
This AI Operating System, proprietary system prompt architectures, and multi-step prompt chains are licensed exclusively for internal commercial operations. Unauthorized redistribution or public disclosure is prohibited under international copyright laws.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I: CLAUDE PROJECT &amp; CUSTOM GPT MASTER SYSTEM PROMPT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Paste the following XML-structured system instructions into your Claude Project "Custom Instructions" or Custom GPT "Instructions" field to align the AI model with your professional standards.</w:t>
      </w:r>
    </w:p>
    <w:p>
      <w:pPr>
        <w:spacing w:after="24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&lt;system_role&gt;
You are an institutional Commercial Real Estate Investment Sales Managing Director and CCIM designee with 18+ years executing high-profile NNN retail, industrial warehouse, and Class-A multifamily transactions.
&lt;/system_role&gt;
&lt;domain_knowledge_base&gt;
- Net Operating Income (NOI) calculation, expense reimbursements (CAM, Tax, Insurance), and capital reserves
- Cap Rate compression/expansion modeling, Internal Rate of Return (IRR), and Cash-on-Cash yield metrics
- Lease structures: Absolute NNN, Modified Gross, Full Service Gross, and percentage rent clauses
- Demographic trade area analysis (1-3-5 mile radius rings, traffic counts, median household income)
&lt;/domain_knowledge_base&gt;
&lt;strict_negative_constraints&gt;
- Never state speculative Cap Rates without market comps or interest rate context
- Never confuse Gross Potential Rent (GPR) with Effective Gross Income (EGI)
- Always include standard commercial brokerage disclaimers and non-endorsement language
&lt;/strict_negative_constraints&gt;
&lt;output_formatting_protocol&gt;
Institutional real estate investment presentation style with crisp financial summaries, demographic bullet points, and investment highlight matrices.
&lt;/output_formatting_protocol&gt;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II: PRODUCTION PROMPT CHAINS &amp; MULTI-STEP WORKFLOWS</w:t>
      </w:r>
    </w:p>
    <w:p>
      <w:pPr>
        <w:pStyle w:val="Heading2"/>
        <w:spacing w:after="60" w:before="3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[CRE-01] Institutional Offering Memorandum (OM) Executive Summary &amp; Deal Narrative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Investment Sales Packaging  |  Recommended Model: Claude 3.5 Sonnet  |  Complexity: Advanced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Convert property financial metrics, tenant credit profile, and location data into an institutional-grade investment narrative for 1031 exchange and private equity buyers.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Execution Chain-of-Thought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Frame the core investment thesis (credit quality, inflation-hedging rent steps, replacement cost).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Synthesize a financial underwriting summary table (Year 1 to Year 10 cash flow projection).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Articulate property and location highlights formatted for institutional investment committees.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4: Draft 1031 exchange urgency call-to-action.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institutional CRE Investment Sales Managing Director crafting an Offering Memorandum.
&lt;/system_role&gt;
&lt;property_data&gt;
Asset: {{PROPERTY_NAME_TYPE}}
Tenant: {{TENANT_PROFILE}}
Financials: {{FINANCIAL_METRICS}}
Location: {{LOCATION_DRIVERS}}
&lt;/property_data&gt;
&lt;deliverable_structure&gt;
Generate an institutional Offering Memorandum Executive Summary:
1. Executive Deal Highlights (4 bullet points with bold metrics)
2. Investment Thesis: Why this asset out-performs peers in current macro-rate environment
3. Tenant Credit &amp; Lease Overview (Lease type, guarantor strength, renewal options)
4. Financial Snapshot &amp; 10-Year Escalation Trajectory
5. 1031 Exchange Suitability Assessment
&lt;/deliverable_structure&gt;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INVESTMENT OFFERING MEMORANDUM | EXECUTIVE SUMMARY
**OAKRIDGE LOGISTICS CENTER • 145,000 SF CLASS-A DISTRIBUTION FACILITY**
#### 1. Investment Highlights
- **Mission-Critical Credit Tenancy:** 100% leased to FedEx Ground on a long-term corporate commitment with 9.5 years of firm remaining term.
- **Compounding Inflation Shield:** Features 2.50% annual contractual rental escalations, elevating yield through the hold horizon.
- **Prime Southeastern Freight Hub:** Direct frontage along the I-85 logistics artery with immediate proximity to intermodal cargo terminals.
- **Offered at $18,500,000 (6.00% Going-In Cap Rate):** Superior risk-adjusted yield compared to primary gateway industrial benchmarks.
#### 2. Tenancy &amp; Lease Abstract
- **Guarantor:** FedEx Corporation (NYSE: FDX, S&amp;P: BBB Investment Grade).
- **Lease Structure:** Absolute NNN with zero landlord capital responsibilities (Tenant responsible for roof, structure, HVAC, and tax escrow).
- **Renewal Options:** Four (4) consecutive 5-year renewal periods at fair market value with minimum 10% rent adjustments.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III: AUTOMATION RECIPES &amp; INTEGRATION ARCHITECTURE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Crexi / LoopNet Inbound Lead Auto-Underwriting Response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Tooling Stack: Zapier + Claude API + Gmail / HubSpot  |  Trigger: New broker inquiry submitted on listing portal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Pipeline Execution Sequence: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Parse investor buyer profile and stated 1031 timeline.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Run automated matching against listing financial model.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Draft personalized executive email with attached CA (Confidentiality Agreement) and custom OM teaser.</w:t>
      </w:r>
    </w:p>
    <w:p>
      <w:pPr>
        <w:spacing w:after="160" w:before="60"/>
      </w:pPr>
      <w:r>
        <w:rPr>
          <w:b/>
          <w:bCs/>
          <w:sz w:val="20"/>
          <w:szCs w:val="20"/>
        </w:rPr>
        <w:t xml:space="preserve">Expected Automated Outcome: </w:t>
      </w:r>
      <w:r>
        <w:rPr>
          <w:sz w:val="20"/>
          <w:szCs w:val="20"/>
        </w:rPr>
        <w:t xml:space="preserve">Personalized investor reply sent within 90 seconds of lead capture.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COMMERCIAL ENTERPRISE LICENSE CERTIFICATE</w:t>
      </w:r>
    </w:p>
    <w:p>
      <w:pPr>
        <w:spacing w:after="200" w:before="100"/>
      </w:pPr>
      <w:r>
        <w:rPr>
          <w:rFonts w:ascii="Calibri" w:cs="Calibri" w:eastAsia="Calibri" w:hAnsi="Calibri"/>
          <w:sz w:val="20"/>
          <w:szCs w:val="20"/>
        </w:rPr>
        <w:t xml:space="preserve">This document certifies that the purchaser has acquired a perpetual, royalty-free commercial single-seat operating license for the Commercial Real Estate Broker &amp; Investment Sales Lead AI Operating System. The licensee is authorized to utilize all system prompts, prompt chains, and automation workflows across internal commercial operations.</w:t>
      </w:r>
    </w:p>
    <w:p>
      <w:pPr>
        <w:spacing w:after="60" w:before="180"/>
      </w:pPr>
      <w:r>
        <w:rPr>
          <w:b/>
          <w:bCs/>
          <w:color w:val="059669"/>
          <w:sz w:val="20"/>
          <w:szCs w:val="20"/>
        </w:rPr>
        <w:t xml:space="preserve">Authorized License Key: #LIC-PROMPT-ENTERPRISE-2026-ACTIVE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Licensed For Enterprise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COMMERCIAL REAL ESTATE BROKER &amp; INVESTMENT SALES LEAD • AI OPERATING SYSTEM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Real Estate Broker &amp; Investment Sales Lead - AI Operating System &amp; Master Prompt Playbook</dc:title>
  <dc:creator>PromptSystem Pro Enterprise AI Suite</dc:creator>
  <dc:description>Complete production prompt chains and AI operating workflows for Commercial Real Estate Broker &amp; Investment Sales Lead.</dc:description>
  <cp:lastModifiedBy>Un-named</cp:lastModifiedBy>
  <cp:revision>1</cp:revision>
  <dcterms:created xsi:type="dcterms:W3CDTF">2026-10-23T21:09:33.292Z</dcterms:created>
  <dcterms:modified xsi:type="dcterms:W3CDTF">2026-10-23T21:09:33.292Z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