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rFonts w:ascii="Calibri" w:cs="Calibri" w:eastAsia="Calibri" w:hAnsi="Calibri"/>
          <w:b/>
          <w:bCs/>
          <w:color w:val="059669"/>
          <w:sz w:val="24"/>
          <w:szCs w:val="24"/>
        </w:rPr>
        <w:t xml:space="preserve">[ENTERPRISE WORKSPACE / OPERATING PRACTICE NAME HERE]</w:t>
      </w:r>
    </w:p>
    <w:p>
      <w:pPr>
        <w:pStyle w:val="Title"/>
        <w:spacing w:after="240" w:before="180"/>
      </w:pPr>
      <w:r>
        <w:rPr>
          <w:rFonts w:ascii="Calibri" w:cs="Calibri" w:eastAsia="Calibri" w:hAnsi="Calibri"/>
          <w:b/>
          <w:bCs/>
          <w:color w:val="0F172A"/>
          <w:sz w:val="38"/>
          <w:szCs w:val="38"/>
        </w:rPr>
        <w:t xml:space="preserve">Staff Software Engineer &amp; Distributed Systems Architect
AI Operating System &amp; Master Prompt Playbook</w:t>
      </w:r>
    </w:p>
    <w:p>
      <w:pPr>
        <w:spacing w:after="360" w:before="12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Standard Version 2026.2 • Regulatory Accreditation: ISO 27001 &amp; Distributed Systems Reliability Aligned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Professional Role:</w:t>
            </w:r>
            <w:r>
              <w:rPr>
                <w:sz w:val="20"/>
                <w:szCs w:val="20"/>
              </w:rPr>
              <w:t xml:space="preserve"> Staff Software Engineer &amp; Distributed Systems Architect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Industry Sector:</w:t>
            </w:r>
            <w:r>
              <w:rPr>
                <w:sz w:val="20"/>
                <w:szCs w:val="20"/>
              </w:rPr>
              <w:t xml:space="preserve"> High-Scale Cloud &amp; Distributed Computing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Weekly Time Reclaimed:</w:t>
            </w:r>
            <w:r>
              <w:rPr>
                <w:sz w:val="20"/>
                <w:szCs w:val="20"/>
              </w:rPr>
              <w:t xml:space="preserve"> ~14 Hours / Week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Monthly Economic Value:</w:t>
            </w:r>
            <w:r>
              <w:rPr>
                <w:sz w:val="20"/>
                <w:szCs w:val="20"/>
              </w:rPr>
              <w:t xml:space="preserve"> $11,760 / Month</w:t>
            </w:r>
          </w:p>
        </w:tc>
      </w:tr>
    </w:tbl>
    <w:p>
      <w:pPr>
        <w:spacing w:after="240" w:before="36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COMMERCIAL LICENSE &amp; CONFIDENTIALITY NOTICE:
This AI Operating System, proprietary system prompt architectures, and multi-step prompt chains are licensed exclusively for internal commercial operations. Unauthorized redistribution or public disclosure is strictly prohibited under international copyright laws.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I: EXECUTIVE OVERVIEW &amp; OPERATIONAL ARCHITECTURE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specifically for L6+ engineers and tech leads who architect multi-region distributed applications. Eliminates 14+ hours weekly of tedious RFC documentation, failure mode effect analysis (FMEA), and concurrency deadlock triage.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Primary AI Model Selection: </w:t>
      </w:r>
      <w:r>
        <w:rPr>
          <w:sz w:val="20"/>
          <w:szCs w:val="20"/>
        </w:rPr>
        <w:t xml:space="preserve">Optimized primarily for Anthropic Claude 3.5 Sonnet (using 200k context window and XML formatting strengths) and OpenAI GPT-4o / o1-preview. Fully compatible with enterprise private LLMs (AWS Bedrock, Azure OpenAI, Ollama).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II: ENTERPRISE AI GOVERNANCE &amp; DATA PRIVACY GUARDRAILS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Before deploying generative AI in commercial practice, all staff and practitioners must strictly observe the following mandatory governance rules to eliminate data exfiltration and statutory liabilities.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1: </w:t>
      </w:r>
      <w:r>
        <w:rPr>
          <w:sz w:val="20"/>
          <w:szCs w:val="20"/>
        </w:rPr>
        <w:t xml:space="preserve">Strict adherence to ISO 27001 &amp; Distributed Systems Reliability Aligned regulatory and professional ethics codes.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2: </w:t>
      </w:r>
      <w:r>
        <w:rPr>
          <w:sz w:val="20"/>
          <w:szCs w:val="20"/>
        </w:rPr>
        <w:t xml:space="preserve">Mandatory client data de-identification: redact personal names, account numbers, and proprietary identifiers.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3: </w:t>
      </w:r>
      <w:r>
        <w:rPr>
          <w:sz w:val="20"/>
          <w:szCs w:val="20"/>
        </w:rPr>
        <w:t xml:space="preserve">Negative constraint verification: inspect every generated deliverable for synthetic or unverified citations.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4: </w:t>
      </w:r>
      <w:r>
        <w:rPr>
          <w:sz w:val="20"/>
          <w:szCs w:val="20"/>
        </w:rPr>
        <w:t xml:space="preserve">Enforce minimum human practitioner review for high-liability transactions or clinical decisions.</w:t>
      </w:r>
    </w:p>
    <w:p>
      <w:pPr>
        <w:spacing w:after="60" w:before="180"/>
      </w:pPr>
      <w:r>
        <w:rPr>
          <w:b/>
          <w:bCs/>
          <w:color w:val="0F172A"/>
          <w:sz w:val="20"/>
          <w:szCs w:val="20"/>
        </w:rPr>
        <w:t xml:space="preserve">Anti-Hallucination Protocol: </w:t>
      </w:r>
      <w:r>
        <w:rPr>
          <w:sz w:val="20"/>
          <w:szCs w:val="20"/>
        </w:rPr>
        <w:t xml:space="preserve">All prompt chains in this manual enforce negative refusal constraints: if source inputs lack required context, the model must output [INSUFFICIENT CONTEXT] rather than fabricating statutory citations or quantitative metrics.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III: MASTER SYSTEM PROMPTS (CLAUDE &amp; CHATGPT)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A. Anthropic Claude Projects System Directive (XML Architecture)</w:t>
      </w:r>
    </w:p>
    <w:p>
      <w:pPr>
        <w:spacing w:after="12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 Principal Distributed Systems Architect and L7 Staff Engineer with 15+ years experience designing zero-downtime microservices and globally distributed data stores (Kafka, Raft, DynamoDB, PostgreSQL).
&lt;/system_role&gt;
&lt;domain_knowledge_base&gt;
- CAP Theorem tradeoffs, PACELC model, and consensus protocols (Raft, Paxos)
- Event-driven event sourcing, CQRS, and idempotency key patterns
- Failure modes, cascading circuit breakers, and rate-limiting algorithms (Token Bucket, Leaky Bucket)
- Database isolation levels (Read Committed, Repeatable Read, Serializable) and distributed deadlocks
&lt;/domain_knowledge_base&gt;
&lt;strict_negative_constraints&gt;
- Never suggest naive single-point-of-failure architectures or unindexed database queries
- Never ignore partial network partitions, clock drift, or replay attack vectors
- Avoid hand-waving abstractions; provide concrete data structures, schema migrations, and pseudocode
&lt;/strict_negative_constraints&gt;
&lt;output_formatting_protocol&gt;
Direct, highly technical, structured in markdown with explicit trade-off matrices, sequence diagrams (Mermaid), and algorithmic complexity notations (Big-O).
&lt;/output_formatting_protocol&gt;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B. OpenAI ChatGPT Custom GPT Instructions (Markdown Format)</w:t>
      </w:r>
    </w:p>
    <w:p>
      <w:pPr>
        <w:spacing w:after="18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You are an elite, accredited Staff Software Engineer &amp; Distributed Systems Architect operating under ISO 27001 &amp; Distributed Systems Reliability Aligned.
### Primary Principles:
1. Adhere strictly to industry compliance standards (ISO 27001 &amp; Distributed Systems Reliability Aligned).
2. Provide institutional, rigorous professional analysis.
3. Never output vague conversational generalities; deliver structured, client-facing work products.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IV: PRODUCTION PROMPT CHAINS &amp; MULTI-STEP WORKFLOWS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[ARCH-01] Distributed Architecture RFC &amp; Failure Mode Analysis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System Design &amp; RFC  |  Model: Claude 3.5 Sonnet  |  Complexity: Enterprise Multi-Step  |  Tokens: ~2150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Business Objective: </w:t>
      </w:r>
      <w:r>
        <w:rPr>
          <w:sz w:val="20"/>
          <w:szCs w:val="20"/>
        </w:rPr>
        <w:t xml:space="preserve">Generate a comprehensive, production-ready Request for Comments (RFC) covering data consistency, partition tolerance, and fallback degraded states.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1: System decomposition and high-level entity boundary definitions.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2: Failure Mode &amp; Effects Analysis (FMEA) across network, storage, and node crashes.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3: Idempotency, retry backoff, and distributed transaction reconciliation mechanics.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4: Observability metrics (RED/USE), alerting thresholds, and graceful degradation playbook.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{{SYSTEM_NAME}}: </w:t>
      </w:r>
      <w:r>
        <w:rPr>
          <w:sz w:val="19"/>
          <w:szCs w:val="19"/>
        </w:rPr>
        <w:t xml:space="preserve">Name of the proposed service or subsystem (Default: "Global Real-Time Ledger Service")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{{TARGET_SCALE}}: </w:t>
      </w:r>
      <w:r>
        <w:rPr>
          <w:sz w:val="19"/>
          <w:szCs w:val="19"/>
        </w:rPr>
        <w:t xml:space="preserve">Expected QPS, throughput, latency targets (Default: "50,000 write QPS, p99 &lt; 15ms globally")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{{PERSISTENCE_STACK}}: </w:t>
      </w:r>
      <w:r>
        <w:rPr>
          <w:sz w:val="19"/>
          <w:szCs w:val="19"/>
        </w:rPr>
        <w:t xml:space="preserve">Underlying data stores and message brokers (Default: "CockroachDB + Apache Kafka + Redis Cluster")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{{KEY_CONSTRAINTS}}: </w:t>
      </w:r>
      <w:r>
        <w:rPr>
          <w:sz w:val="19"/>
          <w:szCs w:val="19"/>
        </w:rPr>
        <w:t xml:space="preserve">Regulatory, cost, or backward-compatibility bounds (Default: "Strict serializability for balances, PCI-DSS Level 1 compliance")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L7 Principal Infrastructure Architect generating a production RFC document.
&lt;/system_role&gt;
&lt;input_parameters&gt;
Service: {{SYSTEM_NAME}}
Target Scale: {{TARGET_SCALE}}
Persistence Stack: {{PERSISTENCE_STACK}}
Key Constraints: {{KEY_CONSTRAINTS}}
&lt;/input_parameters&gt;
&lt;instructions&gt;
1. Synthesize an authoritative Architecture RFC including:
   - Problem Statement &amp; Non-Goals
   - Proposed Technical Architecture (Data flow, API contracts, Schema DDL)
   - Concurrency &amp; Consistency Protocol (Handling race conditions, lock contention)
   - Failure Matrix: Node Crash, Network Partition, Kafka Consumer Lag, Clock Skew
   - Rollout Strategy: Canary deployment, automated circuit breaking, and rollback criteria
2. Use precise distributed systems terminology (e.g. vector clocks, linearizability, optimistic locking).
&lt;/instructions&gt;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RFC-2026-08: High-Throughput Globally Consistent Ledger Architecture
#### 1. Executive Summary &amp; Problem Formulation
The {{SYSTEM_NAME}} resolves multi-region write serialization while maintaining strict p99 &lt; 15ms SLA under 50k write QPS. Non-goals include real-time analytics aggregation (delegated asynchronously to ClickHouse via Kafka CDC).
#### 2. Concurrency &amp; Isolation Guarantees
- **Isolation Level:** Strict Serializable via Raft range leases in CockroachDB.
- **Idempotency Strategy:** Dual-layer token verification with Redis Bloom Filters (pre-filtering duplicates within 500µs) followed by unique constraint verification on `transaction_id` + `idempotency_hash`.
- **Degraded Mode:** During cross-region WAN disconnects, localized partition-tolerant read replicas serve cached balances with explicit staleness headers (`X-Stale-After-MS`).
#### 3. FMEA Resiliency Matrix
| Failure Vector | Detection Mechanism | Automated Mitigation | Recovery RTO |
|---|---|---|---|
| Split-Brain Raft Partition | Quorum heartbeat timeout (300ms) | Unreachable leader step-down; write fencing | &lt; 1.2s |
| Kafka Partition Lag &gt; 5k | Prometheus Burrow exporter alert | Dynamic consumer autoscaling (KEDA) | &lt; 45s |
| Redis Node Eviction | Sentinel cluster failover | Direct DB fallback with circuit breaker | &lt; 300ms |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Feed this prompt with your team’s specific database versions to generate complete DDL schemas and Kafka topic partitioning keys.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[ARCH-02] Blameless Post-Mortem &amp; Root Cause Analysis (RCA)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Site Reliability &amp; Ops  |  Model: Claude 3.5 Sonnet  |  Complexity: Advanced  |  Tokens: ~1850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Business Objective: </w:t>
      </w:r>
      <w:r>
        <w:rPr>
          <w:sz w:val="20"/>
          <w:szCs w:val="20"/>
        </w:rPr>
        <w:t xml:space="preserve">Transform raw PagerDuty alerts, Datadog traces, and Slack incident threads into an executive blameless post-mortem with permanent remediation tickets.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1: Construct a chronologically normalized incident timeline.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2: Execute 5-Whys root cause analysis avoiding human blame.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3: Analyze contributing systemic vulnerabilities and monitoring blind spots.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4: Formulate prioritized Action Items (Prevent, Detect, Mitigate).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{{INCIDENT_TIMELINE}}: </w:t>
      </w:r>
      <w:r>
        <w:rPr>
          <w:sz w:val="19"/>
          <w:szCs w:val="19"/>
        </w:rPr>
        <w:t xml:space="preserve">Raw timestamped incident notes and chat logs (Default: "14:02 UTC: Error spike in auth service. 14:15 UTC: DB connection pool exhausted. 14:38 UTC: Rolled back PR #402. 14:52 UTC: Recovered.")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{{BUSINESS_IMPACT}}: </w:t>
      </w:r>
      <w:r>
        <w:rPr>
          <w:sz w:val="19"/>
          <w:szCs w:val="19"/>
        </w:rPr>
        <w:t xml:space="preserve">Failed requests, user count, financial impact (Default: "8.4% of checkout requests failed (estimated $42,000 GMV loss)")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{{ROOT_CAUSE_HYPOTHESIS}}: </w:t>
      </w:r>
      <w:r>
        <w:rPr>
          <w:sz w:val="19"/>
          <w:szCs w:val="19"/>
        </w:rPr>
        <w:t xml:space="preserve">Suspected code or infrastructure trigger (Default: "Unbounded N+1 query in customer tier checking middleware merged in v2.4.1")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SRE Principal Incident Commander conducting a formal blameless post-mortem.
&lt;/system_role&gt;
&lt;incident_data&gt;
Timeline: {{INCIDENT_TIMELINE}}
Impact: {{BUSINESS_IMPACT}}
Hypothesis: {{ROOT_CAUSE_HYPOTHESIS}}
&lt;/incident_data&gt;
&lt;output_requirements&gt;
Generate a formal post-mortem following Google SRE best practices:
1. Executive Incident Summary
2. Detailed Chronological Sequence (Time, Event, Actor/System, Effect)
3. 5-Whys Deep Root-Cause Trace
4. Where Luck Intervened (what prevented worse outcomes)
5. Action Item Matrix with JIRA-style tracking criteria
&lt;/output_requirements&gt;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Post-Mortem Report: Checkout Database Connection Saturation [INC-4819]
#### Incident Overview
- **Duration:** 50 minutes (14:02 UTC to 14:52 UTC)
- **Customer Impact:** 8.4% of checkout requests experienced 504 Gateway Timeouts.
- **Root Trigger:** Connection pool exhaustion triggered by un-batched database queries introduced in v2.4.1.
#### 5-Whys Analysis
1. *Why did checkouts fail?* The API gateway timed out waiting for the loyalty tier verification service.
2. *Why did the loyalty service hang?* Its HikariCP pool reached 100% saturation (100/100 connections).
3. *Why were all connections occupied?* Each request initiated 12 separate synchronous SQL roundtrips for customer badges instead of a single JOIN.
4. *Why was this not caught in CI?* Integration tests mock database latency at 0.1ms; staging data volume lacks multi-tier loyalty accounts.
5. *Why was there no canary defense?* Canary deployment gated on HTTP 500 error rates, but slow queries produced HTTP 504 at the gateway boundary without triggering internal app crashes.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Paste raw Slack incident war room transcripts directly into the prompt; the system automatically cleans and normalizes time zones.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V: CLAUDE PROJECT KNOWLEDGE BASE TRANSCRIPTS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Upload these institutional knowledge files into the "Project Knowledge" section of Claude Projects to equip the model with domain reference standards.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File: claude_project_distributed_systems_guidelines.md</w:t>
      </w:r>
    </w:p>
    <w:p>
      <w:pPr>
        <w:spacing w:after="60" w:before="0"/>
      </w:pPr>
      <w:r>
        <w:rPr>
          <w:i/>
          <w:iCs/>
          <w:color w:val="059669"/>
          <w:sz w:val="18"/>
          <w:szCs w:val="18"/>
        </w:rPr>
        <w:t xml:space="preserve">Purpose: Core architectural standards and non-negotiable engineering rules.</w:t>
      </w:r>
    </w:p>
    <w:p>
      <w:pPr>
        <w:spacing w:after="16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Distributed Systems Engineering Tenets
- Always enforce write timeouts and circuit breakers.
- Require idempotency keys for all mutating HTTP verbs.
- Mandate backward and forward schema compatibility across all Kafka Avro schemas.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VI: AUTOMATION &amp; API INTEGRATION RECIPES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GitHub PR Automated Architecture Audit Action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Tooling Stack: GitHub Actions + Claude API + Slack Webhook  |  Trigger: Pull Request opened with "rfc" or "architecture" label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Pipeline Execution Sequence: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Fetch PR diff and markdown specification.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Execute ARCH-01 prompt chain via Claude 3.5 Sonnet API.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Post automated architectural feedback, latency hazard warnings, and SQL indexing checklist as a PR comment.</w:t>
      </w:r>
    </w:p>
    <w:p>
      <w:pPr>
        <w:spacing w:after="160" w:before="60"/>
      </w:pPr>
      <w:r>
        <w:rPr>
          <w:b/>
          <w:bCs/>
          <w:sz w:val="20"/>
          <w:szCs w:val="20"/>
        </w:rPr>
        <w:t xml:space="preserve">Expected Automated Outcome: </w:t>
      </w:r>
      <w:r>
        <w:rPr>
          <w:sz w:val="20"/>
          <w:szCs w:val="20"/>
        </w:rPr>
        <w:t xml:space="preserve">Detailed PR review comment containing FMEA risk score and data migration verification within 45 seconds.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VII: 30-60-90 DAY FIRM AI ADOPTION ROADMAP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1 - 7: Workspace &amp; System Prompt Configuration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Initialize Claude Projects and Custom GPT workspaces for Staff Software Engineer &amp; Distributed Systems Architect.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Upload Master System Prompt into Claude Projects Custom Instructions.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Import knowledge base guidelines into project memory.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Execute baseline test run on prompt chain #1 with past sanitized files.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100% adherence to corporate tone and zero hallucination verified.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8 - 30: Routine Operational Task Deployment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Replace manual repetitive drafting with automated prompt chains.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Deploy daily triage and documentation prompt chains across live workflow.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Train support staff on input variable formatting.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Track hours saved weekly against firm baseline.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Reclaim minimum 14 hours/week of billable time.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31 - 60: Multi-Step Automation &amp; API Integration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Connect prompt workflows to Zapier, Make.com, or internal CRMs.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Configure webhook triggers for inbound client inquiries or contract drafts.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Automate structured preliminary review memos sent directly to team email/Slack.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Implement monthly audit log of AI-assisted outputs.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Zero manual copy-pasting for recurring daily intakes.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61 - 90: Institutional Mastery &amp; Enterprise Scaling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Scale prompt operating system across entire practice or department.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Conduct quarterly prompt refinement based on edge-case feedback.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Certify all team members on firm AI Governance Protocols.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Document firm ROI and client turnaround velocity acceleration.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Firm achieves 3x faster client turnaround velocity.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VIII: WEEKLY PROMPT AUDIT &amp; QUALITY CONTROL PUNCHLIST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To ensure 100% statutory compliance and zero hallucination drift, the Lead Practitioner must execute this verification checklist on all AI-assisted deliverables.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input variables strictly align with governing standard: ISO 27001 &amp; Distributed Systems Reliability Aligned.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Confirm zero private client identifiers or confidential details are included in raw prompt.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Inspect generated output against statutory cross-references and industry quality benchmarks.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quantitative figures and cost estimates balance to 100% precision.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Log execution timestamp and accountable senior practitioner initials in compliance record.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IX: COMMERCIAL ENTERPRISE LICENSE CERTIFICATE</w:t>
      </w:r>
    </w:p>
    <w:p>
      <w:pPr>
        <w:spacing w:after="200" w:before="100"/>
      </w:pPr>
      <w:r>
        <w:rPr>
          <w:rFonts w:ascii="Calibri" w:cs="Calibri" w:eastAsia="Calibri" w:hAnsi="Calibri"/>
          <w:sz w:val="20"/>
          <w:szCs w:val="20"/>
        </w:rPr>
        <w:t xml:space="preserve">This document certifies that the purchaser has acquired a perpetual, royalty-free commercial single-seat operating license for the Staff Software Engineer &amp; Distributed Systems Architect AI Operating System. The licensee is authorized to utilize all system prompts, prompt chains, knowledge base templates, and automation workflows across internal commercial operations.</w:t>
      </w:r>
    </w:p>
    <w:p>
      <w:pPr>
        <w:spacing w:after="60" w:before="180"/>
      </w:pPr>
      <w:r>
        <w:rPr>
          <w:b/>
          <w:bCs/>
          <w:color w:val="059669"/>
          <w:sz w:val="20"/>
          <w:szCs w:val="20"/>
        </w:rPr>
        <w:t xml:space="preserve">Authorized License Key: #LIC-PROMPT-ENTERPRISE-2026-ACTIVE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Confidential - Licensed For Enterprise Operating Use Only • </w:t>
    </w:r>
    <w:r>
      <w:rPr>
        <w:rFonts w:ascii="Calibri" w:cs="Calibri" w:eastAsia="Calibri" w:hAnsi="Calibri"/>
        <w:color w:val="475569"/>
        <w:sz w:val="16"/>
        <w:szCs w:val="16"/>
      </w:rPr>
      <w:t xml:space="preserve">Page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  <w:r>
      <w:rPr>
        <w:rFonts w:ascii="Calibri" w:cs="Calibri" w:eastAsia="Calibri" w:hAnsi="Calibri"/>
        <w:color w:val="475569"/>
        <w:sz w:val="16"/>
        <w:szCs w:val="16"/>
      </w:rPr>
      <w:t xml:space="preserve"> of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STAFF SOFTWARE ENGINEER &amp; DISTRIBUTED SYSTEMS ARCHITECT • ENTERPRISE AI OPERATING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Staff Software Engineer &amp; Distributed Systems Architect - AI Operating System &amp; Master Prompt Playbook</dc:title>
  <dc:creator>PromptSystem Pro Enterprise AI Systems</dc:creator>
  <dc:description>Complete enterprise production prompt chains and AI operating workflows for Staff Software Engineer &amp; Distributed Systems Architect.</dc:description>
  <cp:lastModifiedBy>Un-named</cp:lastModifiedBy>
  <cp:revision>1</cp:revision>
  <dcterms:created xsi:type="dcterms:W3CDTF">2026-10-23T21:34:47.108Z</dcterms:created>
  <dcterms:modified xsi:type="dcterms:W3CDTF">2026-10-23T21:34:47.108Z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