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إقرأ-12</w:t>
      </w:r>
    </w:p>
    <w:p>
      <w:pPr>
        <w:spacing w:before="200" w:after="200"/>
        <w:jc w:val="center"/>
      </w:pPr>
      <w:r>
        <w:rPr>
          <w:b/>
          <w:bCs/>
          <w:color w:val="2874a6"/>
          <w:sz w:val="44"/>
          <w:szCs w:val="44"/>
        </w:rPr>
        <w:t xml:space="preserve">الوثيقة الشاملة النهائية</w:t>
      </w:r>
    </w:p>
    <w:p>
      <w:pPr>
        <w:spacing w:before="100"/>
        <w:jc w:val="center"/>
      </w:pPr>
      <w:r>
        <w:rPr>
          <w:color w:val="7b7d7d"/>
          <w:sz w:val="28"/>
          <w:szCs w:val="28"/>
        </w:rPr>
        <w:t xml:space="preserve">المراجعة الشاملة للتكامل</w:t>
      </w:r>
    </w:p>
    <w:p>
      <w:pPr>
        <w:jc w:val="center"/>
      </w:pPr>
      <w:r>
        <w:rPr>
          <w:color w:val="7b7d7d"/>
          <w:sz w:val="28"/>
          <w:szCs w:val="28"/>
        </w:rPr>
        <w:t xml:space="preserve">المعمارية النهائية الموحدة</w:t>
      </w:r>
    </w:p>
    <w:p>
      <w:pPr>
        <w:jc w:val="center"/>
      </w:pPr>
      <w:r>
        <w:rPr>
          <w:color w:val="7b7d7d"/>
          <w:sz w:val="28"/>
          <w:szCs w:val="28"/>
        </w:rPr>
        <w:t xml:space="preserve">خطة التنفيذ المرحلية</w:t>
      </w:r>
    </w:p>
    <w:p>
      <w:pPr>
        <w:pStyle w:val="ArabicQuote"/>
        <w:spacing w:before="600"/>
      </w:pPr>
      <w:r>
        <w:t xml:space="preserve">"على أكتاف العمالقة نبني... نحن لا نبني تكنولوجيا، نحن نبني امتداداً لعقل الباحث المسلم"</w:t>
      </w:r>
    </w:p>
    <w:p>
      <w:pPr>
        <w:spacing w:before="800"/>
        <w:jc w:val="center"/>
      </w:pPr>
      <w:r>
        <w:rPr>
          <w:color w:val="7b7d7d"/>
          <w:sz w:val="22"/>
          <w:szCs w:val="22"/>
        </w:rPr>
        <w:t xml:space="preserve">الإصدار 1.0.0 | ديسمبر 2024</w:t>
      </w:r>
    </w:p>
    <w:p>
      <w:r>
        <w:br w:type="page"/>
      </w:r>
    </w:p>
    <w:p>
      <w:pPr>
        <w:pStyle w:val="Heading1"/>
      </w:pPr>
      <w:r>
        <w:t xml:space="preserve">الجزء الأول: المراجعة الشاملة للتكامل</w:t>
      </w:r>
    </w:p>
    <w:p>
      <w:pPr>
        <w:pStyle w:val="Heading2"/>
      </w:pPr>
      <w:r>
        <w:t xml:space="preserve">1.1 المبادئ الحاكمة (Non-negotiables)</w:t>
      </w:r>
    </w:p>
    <w:p>
      <w:pPr>
        <w:spacing w:before="100"/>
      </w:pPr>
      <w:r>
        <w:t xml:space="preserve">تُستلهم من دروس الآباء المؤسسين وتُترجم إلى قواعد تشغيل: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لا claim بلا evidence: </w:t>
      </w:r>
      <w:r>
        <w:t xml:space="preserve">كل ادعاء يجب أن يرتبط بدليل موثق (Ioannidis, Stodden)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لا evidence بلا locator: </w:t>
      </w:r>
      <w:r>
        <w:t xml:space="preserve">كل دليل يحمل إحداثيات دقيقة (Garfield, Moreau)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لا تشغيل بلا run_id: </w:t>
      </w:r>
      <w:r>
        <w:t xml:space="preserve">كل عملية تُسجل بمعرف فريد وتكلفة ووصفة (Tigani, Deming)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لا ربط بلا موافقة: </w:t>
      </w:r>
      <w:r>
        <w:t xml:space="preserve">Suggest→Approve لعمليات الدمج والفصل (Shneiderman)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لا نشر بلا بوابة ثقة: </w:t>
      </w:r>
      <w:r>
        <w:t xml:space="preserve">Publish Gate يتحقق من الحقوق والمصدرية (Norman, Lynch)</w:t>
      </w:r>
    </w:p>
    <w:p>
      <w:pPr>
        <w:pStyle w:val="Heading2"/>
      </w:pPr>
      <w:r>
        <w:t xml:space="preserve">1.2 فهرس الحزم الكاملة (1-11)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000"/>
        <w:gridCol w:w="1200"/>
        <w:gridCol w:w="1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الحزمة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المكونات الرئيسية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الحالة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طبقة العمليات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44 عملية (البحث، الربط، الاستنتاج، التركيب، بناء الأنساق)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محرك التكوين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Composition Engine + Recipe Registry + Run Ledger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طبقة المعرفة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الأنطولوجيا + BigQuery Schema + Vector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الوكلاء الأكاديميون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التفسير، الحديث، الفقه، العقيدة، التاريخ، اللغة، المخطوطات...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صياد الثروة المهملة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Gap Hunter + Novelty Search + Serendipity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الوكلاء الإداريون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الوراق + DataOps + الحوكمة + السجلات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عائلة التطهير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الحراسة الشرعية، الخطر البريء، التحيز المصمم، الهيمنة الثقافية، المراقب الصامت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طبقة المستشارين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المرصد + Model Router + بروتوكول الشورى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وكلاء الأدوات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وكيل زوتيرو + المفكرة الذكية/أوبسيديان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الدعم البحثي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وكيل المناهج + الدعم الأكاديمي + القرين الأكاديمي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إدارة 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مدير الوكلاء + سجل المطالبات + Agent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المجموع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</w:pPr>
      <w:r>
        <w:t xml:space="preserve">1.3 مصفوفة التكامل</w:t>
      </w:r>
    </w:p>
    <w:p>
      <w:pPr>
        <w:spacing w:before="100"/>
      </w:pPr>
      <w:r>
        <w:t xml:space="preserve">تُظهر علاقات التكامل الحرجة بين الحزم: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من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إلى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طبيعة التكامل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عائلة التطهير (7)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الوكلاء الأكاديميون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كل مخرج أكاديمي يمر عبر فلاتر التطهير الخمسة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طبقة المستشارين (8)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جميع 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 Router يوجه المهام، الشورى للقرارات الحساسة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وكلاء الأدوات (9)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سير العمل الأكاديمي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Zotero→استشهادات، المفكرة→ملاحظات وأفكار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الدعم البحثي 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الكتابة الأكاديمية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المناهج يراقب بصمت، الأكاديمي يوجه التقاليد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إدارة الوكلاء (11)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جميع 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واجهة اللغة الطبيعية + سجل المطالبات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العمليات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BigQuery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كل عملية = recipe + run_id + artifacts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المرصد (8)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 Router (8)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تغذية ببيانات النماذج والأسعار والتقييمات</w:t>
            </w:r>
          </w:p>
        </w:tc>
      </w:tr>
    </w:tbl>
    <w:p>
      <w:pPr>
        <w:pStyle w:val="Heading2"/>
      </w:pPr>
      <w:r>
        <w:t xml:space="preserve">1.4 دروس الآباء المستلهمة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الأب المؤسس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التخصص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التطبيق في إقرأ-12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Andrew 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Agentic Workflows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الأنماط الأربعة: الانعكاس، الأدوات، التخطيط، التعاون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Harrison 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LangChain/Orchestration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ربط الذاكرة بالنموذج بالأدوات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Shunyu Yao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Methodology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التآزر بين التفكير والفعل في كل وكيل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Joon Sung 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Generative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تيار الذاكرة والتأمل في المفكرة الذكية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Thomas Gruber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Ontology 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أنطولوجيا إقرأ العليا للمفاهيم الشرعية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Emily Bender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Stochastic Parrots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وكيل الخطر البريء وفلاتر التجذير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Kate Crawford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Atlas of AI / Bias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وكيل التحيز المصمم والهيمنة الثقافية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Gary Marcus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Symbolic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المنطق الرمزي للمواريث والزكاة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Stuart Russell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دستور المحاذاة ومجلس الحوكمة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Kenneth Stanley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Novelty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صياد الثروة المهملة وإيقاد الشرارات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Jordan Tigani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BigQuery Economics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اقتصاديات الاستعلام وتحسين التكلفة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Sal Khan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Socratic Teaching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المعلم السقراطي: لا تعطِ السمكة، علّم الصيد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Ben Shneiderman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Human-Centered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الشفافية والتحكم البشري وقابلية الرجوع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Douglas Engelbart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Augmented Intellect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تراكم الخبرة عبر recipes و playbooks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Victoria Stodden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Reproducibility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حزم إعادة الإنتاج لكل مخرج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Luc Moreau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Provenance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سلسلة الأصل لكل claim وevidence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الجزء الثاني: المعمارية النهائية الموحدة</w:t>
      </w:r>
    </w:p>
    <w:p>
      <w:pPr>
        <w:pStyle w:val="Heading2"/>
      </w:pPr>
      <w:r>
        <w:t xml:space="preserve">2.1 العمليات الخمس (Process Contracts)</w:t>
      </w:r>
    </w:p>
    <w:p>
      <w:pPr>
        <w:spacing w:before="100"/>
      </w:pPr>
      <w:r>
        <w:t xml:space="preserve">كل عملية لها: هدف، مدخلات، أوامر، مخرجات، بوابات ثقة، مؤشرات قياس: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العملية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الهدف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المخرجات (Artifacts)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بوابة الثقة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🔍 البحث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سؤال → Recipe قابل للإعادة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recipe + passages + run_id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Gate-Search: Dry-run + سقف كلفة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🔗 الربط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نصوص → كيانات وعلاقات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entities + edges + evidence_ids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Gate-Identity + Gate-Edge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💡 الاستنتاج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شواهد → ادعاءات محدودة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claims + counter_evidence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Gate-Claim + Gate-Counter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✍️ التركيب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claims → بنية كتابة موثقة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draft_asset + citations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Gate-Write + Gate-Integrity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🏛️ بناء الأنساق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معرفة → نظرية قابلة للاستعلام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theory_object +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Gate-Theory + Gate-Version</w:t>
            </w:r>
          </w:p>
        </w:tc>
      </w:tr>
    </w:tbl>
    <w:p>
      <w:pPr>
        <w:pStyle w:val="Heading2"/>
      </w:pPr>
      <w:r>
        <w:t xml:space="preserve">2.2 طبقات المعمارية السبع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الطبقة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الوظيفة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المكونات الرئيسية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البنية التحتية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الحصاد والتخزين والاقتصاد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BigQuery + Cloud Storage + FinOps + Tigani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المعرفة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تحويل البيانات لمعانٍ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الأنطولوجيا + Vector Search + Gruber/Guarino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العقول العاملة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74 وكيل (أكاديمي/إداري/تطهير/أدوات)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المنطق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الاستدلال والاكتشاف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+ Toulmin + Novelty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سير العمل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خدمة الباحث والطالب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الكتابة + البحث + التحكيم + النشر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الحوكمة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الأخلاق والمخاطر والثقة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عائلة التطهير + الدستور + المراقبة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التقييم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ضمان الجودة المستمر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HELM + IQRA Benchmark + AgentBench</w:t>
            </w:r>
          </w:p>
        </w:tc>
      </w:tr>
    </w:tbl>
    <w:p>
      <w:pPr>
        <w:pStyle w:val="Heading2"/>
      </w:pPr>
      <w:r>
        <w:t xml:space="preserve">2.3 فهرس الوكلاء الشامل (74 وكيل)</w:t>
      </w:r>
    </w:p>
    <w:p>
      <w:pPr>
        <w:pStyle w:val="Heading3"/>
      </w:pPr>
      <w:r>
        <w:t xml:space="preserve">الوكلاء الأكاديميون (18)</w:t>
      </w:r>
    </w:p>
    <w:p>
      <w:pPr>
        <w:pStyle w:val="ListParagraph"/>
        <w:numPr>
          <w:ilvl w:val="0"/>
          <w:numId w:val="3"/>
        </w:numPr>
      </w:pPr>
      <w:r>
        <w:t xml:space="preserve">وكلاء التخصصات: التفسير، الحديث، الفقه، العقيدة، التاريخ، اللغة، التراجم، المخطوطات</w:t>
      </w:r>
    </w:p>
    <w:p>
      <w:pPr>
        <w:pStyle w:val="ListParagraph"/>
        <w:numPr>
          <w:ilvl w:val="0"/>
          <w:numId w:val="3"/>
        </w:numPr>
      </w:pPr>
      <w:r>
        <w:t xml:space="preserve">وكلاء العمليات: الكتابة الأكاديمية، التلخيص، الحوار، الترجمة</w:t>
      </w:r>
    </w:p>
    <w:p>
      <w:pPr>
        <w:pStyle w:val="ListParagraph"/>
        <w:numPr>
          <w:ilvl w:val="0"/>
          <w:numId w:val="3"/>
        </w:numPr>
      </w:pPr>
      <w:r>
        <w:t xml:space="preserve">وكلاء التتبع: نسب الفكرة، انتشار الفكرة، موقف المدارس، التأثير عبر الثقافات</w:t>
      </w:r>
    </w:p>
    <w:p>
      <w:pPr>
        <w:pStyle w:val="Heading3"/>
      </w:pPr>
      <w:r>
        <w:t xml:space="preserve">عائلة التطهير (5)</w:t>
      </w:r>
    </w:p>
    <w:p>
      <w:pPr>
        <w:pStyle w:val="ListParagraph"/>
        <w:numPr>
          <w:ilvl w:val="0"/>
          <w:numId w:val="3"/>
        </w:numPr>
      </w:pPr>
      <w:r>
        <w:t xml:space="preserve">① الحراسة الشرعية والفطرية - البوابة الأخيرة قبل المخرج</w:t>
      </w:r>
    </w:p>
    <w:p>
      <w:pPr>
        <w:pStyle w:val="ListParagraph"/>
        <w:numPr>
          <w:ilvl w:val="0"/>
          <w:numId w:val="3"/>
        </w:numPr>
      </w:pPr>
      <w:r>
        <w:t xml:space="preserve">② الخطر البريء - كشف الهلوسة والتناقض والأخطاء التقنية</w:t>
      </w:r>
    </w:p>
    <w:p>
      <w:pPr>
        <w:pStyle w:val="ListParagraph"/>
        <w:numPr>
          <w:ilvl w:val="0"/>
          <w:numId w:val="3"/>
        </w:numPr>
      </w:pPr>
      <w:r>
        <w:t xml:space="preserve">③ التحيز المصمم - قرارات التصميم المقصودة والسياسية</w:t>
      </w:r>
    </w:p>
    <w:p>
      <w:pPr>
        <w:pStyle w:val="ListParagraph"/>
        <w:numPr>
          <w:ilvl w:val="0"/>
          <w:numId w:val="3"/>
        </w:numPr>
      </w:pPr>
      <w:r>
        <w:t xml:space="preserve">④ الهيمنة الثقافية - تحيزات البيانات والاستشراق والمركزية الأوروبية</w:t>
      </w:r>
    </w:p>
    <w:p>
      <w:pPr>
        <w:pStyle w:val="ListParagraph"/>
        <w:numPr>
          <w:ilvl w:val="0"/>
          <w:numId w:val="3"/>
        </w:numPr>
      </w:pPr>
      <w:r>
        <w:t xml:space="preserve">⑤ المراقب الصامت - Meta-monitor يراقب المراقبين</w:t>
      </w:r>
    </w:p>
    <w:p>
      <w:pPr>
        <w:pStyle w:val="Heading3"/>
      </w:pPr>
      <w:r>
        <w:t xml:space="preserve">طبقة المستشارين (3)</w:t>
      </w:r>
    </w:p>
    <w:p>
      <w:pPr>
        <w:pStyle w:val="ListParagraph"/>
        <w:numPr>
          <w:ilvl w:val="0"/>
          <w:numId w:val="3"/>
        </w:numPr>
      </w:pPr>
      <w:r>
        <w:t xml:space="preserve">المرصد (AI Observatory) - رصد النماذج والأدوات والأسعار</w:t>
      </w:r>
    </w:p>
    <w:p>
      <w:pPr>
        <w:pStyle w:val="ListParagraph"/>
        <w:numPr>
          <w:ilvl w:val="0"/>
          <w:numId w:val="3"/>
        </w:numPr>
      </w:pPr>
      <w:r>
        <w:t xml:space="preserve">وكيل اختيار النموذج (Model Router) - توجيه ذكي للمهام</w:t>
      </w:r>
    </w:p>
    <w:p>
      <w:pPr>
        <w:pStyle w:val="ListParagraph"/>
        <w:numPr>
          <w:ilvl w:val="0"/>
          <w:numId w:val="3"/>
        </w:numPr>
      </w:pPr>
      <w:r>
        <w:t xml:space="preserve">بروتوكول الشورى - استشارة عدة نماذج للقرارات الحساسة</w:t>
      </w:r>
    </w:p>
    <w:p>
      <w:pPr>
        <w:pStyle w:val="Heading3"/>
      </w:pPr>
      <w:r>
        <w:t xml:space="preserve">وكلاء الأدوات والدعم (5)</w:t>
      </w:r>
    </w:p>
    <w:p>
      <w:pPr>
        <w:pStyle w:val="ListParagraph"/>
        <w:numPr>
          <w:ilvl w:val="0"/>
          <w:numId w:val="3"/>
        </w:numPr>
      </w:pPr>
      <w:r>
        <w:t xml:space="preserve">وكيل زوتيرو - إدارة المراجع باللغة الطبيعية</w:t>
      </w:r>
    </w:p>
    <w:p>
      <w:pPr>
        <w:pStyle w:val="ListParagraph"/>
        <w:numPr>
          <w:ilvl w:val="0"/>
          <w:numId w:val="3"/>
        </w:numPr>
      </w:pPr>
      <w:r>
        <w:t xml:space="preserve">المفكرة الذكية - القرين الفكري + تكامل أوبسيديان</w:t>
      </w:r>
    </w:p>
    <w:p>
      <w:pPr>
        <w:pStyle w:val="ListParagraph"/>
        <w:numPr>
          <w:ilvl w:val="0"/>
          <w:numId w:val="3"/>
        </w:numPr>
      </w:pPr>
      <w:r>
        <w:t xml:space="preserve">وكيل المناهج العلمية - استحضار المنهجيات، كشف الأيديولوجيات</w:t>
      </w:r>
    </w:p>
    <w:p>
      <w:pPr>
        <w:pStyle w:val="ListParagraph"/>
        <w:numPr>
          <w:ilvl w:val="0"/>
          <w:numId w:val="3"/>
        </w:numPr>
      </w:pPr>
      <w:r>
        <w:t xml:space="preserve">وكيل الدعم الأكاديمي - خبير التقاليد الجامعية</w:t>
      </w:r>
    </w:p>
    <w:p>
      <w:pPr>
        <w:pStyle w:val="ListParagraph"/>
        <w:numPr>
          <w:ilvl w:val="0"/>
          <w:numId w:val="3"/>
        </w:numPr>
      </w:pPr>
      <w:r>
        <w:t xml:space="preserve">القرين الأكاديمي - رفيق الحوار والنقاش</w:t>
      </w:r>
    </w:p>
    <w:p>
      <w:r>
        <w:br w:type="page"/>
      </w:r>
    </w:p>
    <w:p>
      <w:pPr>
        <w:pStyle w:val="Heading1"/>
      </w:pPr>
      <w:r>
        <w:t xml:space="preserve">الجزء الثالث: خطة التنفيذ المرحلية</w:t>
      </w:r>
    </w:p>
    <w:p>
      <w:pPr>
        <w:pStyle w:val="Heading2"/>
      </w:pPr>
      <w:r>
        <w:t xml:space="preserve">3.1 المراحل التنفيذية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500"/>
        <w:gridCol w:w="2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المرحلة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المدة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المهام الرئيسية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المخرجات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الأساس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شهر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BigQuery + الأنطولوجيا + طبقة المستشارين + Recipe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البنية التحتية جاهزة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الوكلاء الأساسيون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شهر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DataOps + الوراق + عائلة التطهير + اختبار التكامل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خط الأنابيب يعمل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الوكلاء الأكاديميون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شهر 5-7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وكلاء التخصصات + الكتابة + صياد الثروة + واجهة الباحث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المنصة قابلة للاستخدام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الدعم والأدوات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شهر 8-9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Zotero + المفكرة + الدعم البحثي + الشورى + مدير 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التجربة متكاملة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الإطلاق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شهر 10-12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اختبار شامل + تحسين الأداء + لوحة التحكم + الإطلاق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المنتج النهائي</w:t>
            </w:r>
          </w:p>
        </w:tc>
      </w:tr>
    </w:tbl>
    <w:p>
      <w:pPr>
        <w:pStyle w:val="Heading2"/>
      </w:pPr>
      <w:r>
        <w:t xml:space="preserve">3.2 أولويات البناء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المكون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الأولوية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السبب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طبقة المستشارين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🔴 حرجة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كل الوكلاء يعتمدون على Model Router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عائلة التطهير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🔴 حرجة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حماية المخرجات من البداية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وكلاء DataOps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🟠 عالية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تغذية البيانات للمنظومة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الوكلاء الأكاديميون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🟠 عالية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القيمة الأساسية للباحث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وكلاء الأدوات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🟡 متوسطة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تحسين تجربة الباحث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الدعم البحثي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🟡 متوسطة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إثراء العمل الأكاديمي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إدارة الوكلاء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🟢 عادية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سهولة الاستخدام المتقدم</w:t>
            </w:r>
          </w:p>
        </w:tc>
      </w:tr>
    </w:tbl>
    <w:p>
      <w:pPr>
        <w:pStyle w:val="Heading2"/>
      </w:pPr>
      <w:r>
        <w:t xml:space="preserve">3.3 مؤشرات النجاح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المؤشر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الهدف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القياس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المرجع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الدقة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90%+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دقة الاستشهادات والنسب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Ioannidis, Stodden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التكلفة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 $0.50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للمهمة المتوسطة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Tigani, FinOps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السرعة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 30 ثانية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للاستجابة الأولى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Nielsen, 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الرضا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80%+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رضا الباحثين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Shneiderman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التغطية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1000+ كتاب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في السنة الأولى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Corpus Building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التطهير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 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نسبة المخرجات الإشكالية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Bender, Crawford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الخاتمة</w:t>
      </w:r>
    </w:p>
    <w:p>
      <w:pPr>
        <w:spacing w:before="200"/>
      </w:pPr>
      <w:r>
        <w:t xml:space="preserve">هذه الوثيقة تُمثل "الدستور التقني والفكري" لمشروع إقرأ-12. عند بناء أي مكون، يجب:</w:t>
      </w:r>
    </w:p>
    <w:p>
      <w:pPr>
        <w:pStyle w:val="ListParagraph"/>
        <w:numPr>
          <w:ilvl w:val="0"/>
          <w:numId w:val="4"/>
        </w:numPr>
      </w:pPr>
      <w:r>
        <w:t xml:space="preserve">الرجوع لدروس الآباء المناسبين</w:t>
      </w:r>
    </w:p>
    <w:p>
      <w:pPr>
        <w:pStyle w:val="ListParagraph"/>
        <w:numPr>
          <w:ilvl w:val="0"/>
          <w:numId w:val="4"/>
        </w:numPr>
      </w:pPr>
      <w:r>
        <w:t xml:space="preserve">التحقق من التكامل مع الحزم الأخرى</w:t>
      </w:r>
    </w:p>
    <w:p>
      <w:pPr>
        <w:pStyle w:val="ListParagraph"/>
        <w:numPr>
          <w:ilvl w:val="0"/>
          <w:numId w:val="4"/>
        </w:numPr>
      </w:pPr>
      <w:r>
        <w:t xml:space="preserve">الالتزام بالمبادئ الحاكمة (لا claim بلا evidence...)</w:t>
      </w:r>
    </w:p>
    <w:p>
      <w:pPr>
        <w:pStyle w:val="ListParagraph"/>
        <w:numPr>
          <w:ilvl w:val="0"/>
          <w:numId w:val="4"/>
        </w:numPr>
      </w:pPr>
      <w:r>
        <w:t xml:space="preserve">اتباع بروتوكول العمليات الخمس</w:t>
      </w:r>
    </w:p>
    <w:p>
      <w:pPr>
        <w:pStyle w:val="ListParagraph"/>
        <w:numPr>
          <w:ilvl w:val="0"/>
          <w:numId w:val="4"/>
        </w:numPr>
      </w:pPr>
      <w:r>
        <w:t xml:space="preserve">تسجيل كل شيء في الـ Artifacts</w:t>
      </w:r>
    </w:p>
    <w:p>
      <w:pPr>
        <w:pStyle w:val="ArabicQuote"/>
        <w:spacing w:before="400"/>
      </w:pPr>
      <w:r>
        <w:t xml:space="preserve">"الوكيل ليس نموذجاً يتكلم... بل خدمة منهجية لها عقد عمل"</w:t>
      </w:r>
    </w:p>
    <w:p>
      <w:pPr>
        <w:pStyle w:val="ArabicQuote"/>
      </w:pPr>
      <w:r>
        <w:t xml:space="preserve">— J.C.R. Licklider (Man–Computer Symbiosis)</w:t>
      </w:r>
    </w:p>
    <w:p>
      <w:pPr>
        <w:spacing w:before="600"/>
        <w:jc w:val="center"/>
      </w:pPr>
      <w:r>
        <w:rPr>
          <w:b/>
          <w:bCs/>
          <w:color w:val="1a5276"/>
          <w:sz w:val="32"/>
          <w:szCs w:val="32"/>
        </w:rPr>
        <w:t xml:space="preserve">تم بحمد الله</w:t>
      </w:r>
    </w:p>
    <w:p>
      <w:pPr>
        <w:spacing w:before="100"/>
        <w:jc w:val="center"/>
      </w:pPr>
      <w:r>
        <w:rPr>
          <w:color w:val="7b7d7d"/>
          <w:sz w:val="24"/>
          <w:szCs w:val="24"/>
        </w:rPr>
        <w:t xml:space="preserve">إقرأ-12 | منظومة البحث العلمي المؤصل</w:t>
      </w:r>
    </w:p>
    <w:p>
      <w:pPr>
        <w:spacing w:before="50"/>
        <w:jc w:val="center"/>
      </w:pPr>
      <w:r>
        <w:rPr>
          <w:color w:val="7b7d7d"/>
          <w:sz w:val="22"/>
          <w:szCs w:val="22"/>
        </w:rPr>
        <w:t xml:space="preserve">ديسمبر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صفحة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من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b7d7d"/>
        <w:sz w:val="20"/>
        <w:szCs w:val="20"/>
      </w:rPr>
      <w:t xml:space="preserve">إقرأ-12 | الوثيقة الشاملة النهائية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  <w:style w:type="paragraph" w:styleId="ArabicQuote">
    <w:name w:val="Arabic Quote"/>
    <w:basedOn w:val="Normal"/>
    <w:pPr>
      <w:spacing w:before="100" w:after="100"/>
      <w:jc w:val="right"/>
    </w:pPr>
    <w:rPr>
      <w:rFonts w:ascii="Arial" w:cs="Arial" w:eastAsia="Arial" w:hAnsi="Arial"/>
      <w:i/>
      <w:iCs/>
      <w:color w:val="7b7d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2025-12-21T14:14:40.647Z</dcterms:created>
  <dcterms:modified xsi:type="dcterms:W3CDTF">2025-12-21T14:14:40.647Z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