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9AB7E" w14:textId="77777777" w:rsidR="00472A10" w:rsidRDefault="00000000">
      <w:pPr>
        <w:spacing w:after="200"/>
        <w:jc w:val="center"/>
      </w:pPr>
      <w:r>
        <w:rPr>
          <w:b/>
          <w:bCs/>
          <w:sz w:val="34"/>
          <w:szCs w:val="34"/>
        </w:rPr>
        <w:t>SimOC: Agent-Based Simulation of Object-Centric</w:t>
      </w:r>
    </w:p>
    <w:p w14:paraId="0364C2CA" w14:textId="77777777" w:rsidR="00472A10" w:rsidRDefault="00000000">
      <w:pPr>
        <w:spacing w:after="300"/>
        <w:jc w:val="center"/>
      </w:pPr>
      <w:r>
        <w:rPr>
          <w:b/>
          <w:bCs/>
          <w:sz w:val="34"/>
          <w:szCs w:val="34"/>
        </w:rPr>
        <w:t>Processes Discovered from OCEL 2.0 Event Logs</w:t>
      </w:r>
    </w:p>
    <w:p w14:paraId="4B9173D5" w14:textId="77777777" w:rsidR="00472A10" w:rsidRDefault="00000000">
      <w:pPr>
        <w:spacing w:after="100"/>
        <w:jc w:val="center"/>
      </w:pPr>
      <w:r>
        <w:t>Mohamed Aziz Ketata</w:t>
      </w:r>
    </w:p>
    <w:p w14:paraId="261591EA" w14:textId="77777777" w:rsidR="00472A10" w:rsidRDefault="00000000">
      <w:pPr>
        <w:spacing w:after="80"/>
        <w:jc w:val="center"/>
      </w:pPr>
      <w:r>
        <w:rPr>
          <w:i/>
          <w:iCs/>
          <w:sz w:val="20"/>
          <w:szCs w:val="20"/>
        </w:rPr>
        <w:t>Technical University of Munich, Munich, Germany</w:t>
      </w:r>
    </w:p>
    <w:p w14:paraId="248B8830" w14:textId="26FE0C4F" w:rsidR="00472A10" w:rsidRPr="002E6D2F" w:rsidRDefault="00000000">
      <w:pPr>
        <w:spacing w:after="400"/>
        <w:jc w:val="center"/>
        <w:rPr>
          <w:lang w:val="de-DE"/>
        </w:rPr>
      </w:pPr>
      <w:r>
        <w:rPr>
          <w:sz w:val="20"/>
          <w:szCs w:val="20"/>
        </w:rPr>
        <w:t>mohamed.aziz.ketata@</w:t>
      </w:r>
      <w:r w:rsidR="002E6D2F">
        <w:rPr>
          <w:sz w:val="20"/>
          <w:szCs w:val="20"/>
        </w:rPr>
        <w:t>tum.de</w:t>
      </w:r>
    </w:p>
    <w:p w14:paraId="17F46C89" w14:textId="77777777" w:rsidR="00472A10" w:rsidRDefault="00000000">
      <w:pPr>
        <w:spacing w:after="120" w:line="276" w:lineRule="auto"/>
        <w:jc w:val="both"/>
      </w:pPr>
      <w:r>
        <w:rPr>
          <w:b/>
          <w:bCs/>
        </w:rPr>
        <w:t xml:space="preserve">Abstract. </w:t>
      </w:r>
      <w:r>
        <w:t xml:space="preserve">Business process simulation is essential for what-if analysis, but existing approaches are limited to single-case-notion processes, losing critical information about how multiple object types interact. Agent-based simulation has been shown effective for resource modeling but has not been extended to object-centric processes; conversely, object-centric simulation exists but lacks agent-based behavioral models. We present SimOC, the first agent-based simulation system that discovers object-centric simulation models from OCEL 2.0 event logs. SimOC introduces a taxonomy of five interaction patterns (spawning, synchronization, binding, batching, and release) with dedicated discovery algorithms for each. Evaluation on two benchmark datasets shows SimOC significantly outperforms flat and independent baselines on structural fidelity metrics (Wilcoxon signed-rank, </w:t>
      </w:r>
      <w:r>
        <w:rPr>
          <w:i/>
          <w:iCs/>
        </w:rPr>
        <w:t>p</w:t>
      </w:r>
      <w:r>
        <w:t xml:space="preserve"> &lt; 0.05; actual </w:t>
      </w:r>
      <w:r>
        <w:rPr>
          <w:i/>
          <w:iCs/>
        </w:rPr>
        <w:t>p</w:t>
      </w:r>
      <w:r>
        <w:t xml:space="preserve"> ≤ 0.004 on 8 of 9 metrics), and is the only method capable of producing object-to-object relational structure. We discuss the inherent tradeoff between cross-type coordination fidelity and per-type lifecycle accuracy, and identify directions for refined binding policies and integration with resource-centric agent models.</w:t>
      </w:r>
    </w:p>
    <w:p w14:paraId="16F4881B" w14:textId="77777777" w:rsidR="00472A10" w:rsidRDefault="00472A10">
      <w:pPr>
        <w:spacing w:after="120"/>
      </w:pPr>
    </w:p>
    <w:p w14:paraId="3E164076" w14:textId="77777777" w:rsidR="00472A10" w:rsidRDefault="00000000">
      <w:pPr>
        <w:spacing w:after="120" w:line="276" w:lineRule="auto"/>
        <w:jc w:val="both"/>
      </w:pPr>
      <w:r>
        <w:rPr>
          <w:b/>
          <w:bCs/>
        </w:rPr>
        <w:t xml:space="preserve">Keywords: </w:t>
      </w:r>
      <w:r>
        <w:t>Object-centric process mining · Business process simulation · Agent-based simulation · OCEL 2.0 · Interaction patterns</w:t>
      </w:r>
    </w:p>
    <w:p w14:paraId="76B3C1BC" w14:textId="77777777" w:rsidR="00472A10" w:rsidRDefault="00000000">
      <w:pPr>
        <w:pStyle w:val="Heading1"/>
      </w:pPr>
      <w:r>
        <w:t>1. Introduction</w:t>
      </w:r>
    </w:p>
    <w:p w14:paraId="691C4573" w14:textId="77777777" w:rsidR="00472A10" w:rsidRDefault="00000000">
      <w:pPr>
        <w:spacing w:after="120" w:line="276" w:lineRule="auto"/>
        <w:jc w:val="both"/>
      </w:pPr>
      <w:r>
        <w:t xml:space="preserve">Process mining enables organizations to discover, monitor, and improve their business processes based on event data. A key application is </w:t>
      </w:r>
      <w:r>
        <w:rPr>
          <w:i/>
          <w:iCs/>
        </w:rPr>
        <w:t>business process simulation</w:t>
      </w:r>
      <w:r>
        <w:t xml:space="preserve"> (BPS): given a real event log, discover a simulation model that can generate synthetic traces for what-if analysis, capacity planning, and process redesign. The standard BPS pipeline, exemplified by Simod [1], discovers a process model, fits arrival rates and activity durations, and simulates forward. However, these approaches assume a </w:t>
      </w:r>
      <w:r>
        <w:rPr>
          <w:i/>
          <w:iCs/>
        </w:rPr>
        <w:t>single case notion</w:t>
      </w:r>
      <w:r>
        <w:t>: one object type (e.g., “order”) flows through the process, and all analysis is anchored to that case.</w:t>
      </w:r>
    </w:p>
    <w:p w14:paraId="7CA14C3A" w14:textId="77777777" w:rsidR="00472A10" w:rsidRDefault="00000000">
      <w:pPr>
        <w:spacing w:after="120" w:line="276" w:lineRule="auto"/>
        <w:ind w:firstLine="360"/>
        <w:jc w:val="both"/>
      </w:pPr>
      <w:r>
        <w:t xml:space="preserve">Real-world processes are </w:t>
      </w:r>
      <w:r>
        <w:rPr>
          <w:i/>
          <w:iCs/>
        </w:rPr>
        <w:t>object-centric</w:t>
      </w:r>
      <w:r>
        <w:t xml:space="preserve">. An order management process involves customers, orders, items, packages, and delivery runs. These object types have independent lifecycles that interact: orders </w:t>
      </w:r>
      <w:r>
        <w:rPr>
          <w:i/>
          <w:iCs/>
        </w:rPr>
        <w:t>spawn</w:t>
      </w:r>
      <w:r>
        <w:t xml:space="preserve"> items, items </w:t>
      </w:r>
      <w:r>
        <w:rPr>
          <w:i/>
          <w:iCs/>
        </w:rPr>
        <w:t>synchronize</w:t>
      </w:r>
      <w:r>
        <w:t xml:space="preserve"> at packing, items are </w:t>
      </w:r>
      <w:r>
        <w:rPr>
          <w:i/>
          <w:iCs/>
        </w:rPr>
        <w:t>bound</w:t>
      </w:r>
      <w:r>
        <w:t xml:space="preserve"> into packages, packages are </w:t>
      </w:r>
      <w:r>
        <w:rPr>
          <w:i/>
          <w:iCs/>
        </w:rPr>
        <w:t>batched</w:t>
      </w:r>
      <w:r>
        <w:t xml:space="preserve"> for shipping, and items </w:t>
      </w:r>
      <w:r>
        <w:rPr>
          <w:i/>
          <w:iCs/>
        </w:rPr>
        <w:t>release</w:t>
      </w:r>
      <w:r>
        <w:t xml:space="preserve"> from orders after packing. The OCEL 2.0 standard [2] captures this complexity through event-to-object (E2O) and object-to-object (O2O) relations, but no existing approach discovers agent-based simulation models from such data.</w:t>
      </w:r>
    </w:p>
    <w:p w14:paraId="52F64C26" w14:textId="77777777" w:rsidR="00472A10" w:rsidRDefault="00000000">
      <w:pPr>
        <w:spacing w:after="120" w:line="276" w:lineRule="auto"/>
        <w:ind w:firstLine="360"/>
        <w:jc w:val="both"/>
      </w:pPr>
      <w:r>
        <w:t xml:space="preserve">Van der Aalst [3] explicitly identified this gap, noting that no approach exists to discover object-centric simulation models from real event data. Knopp et al. [4] addressed part of this gap with </w:t>
      </w:r>
      <w:r>
        <w:lastRenderedPageBreak/>
        <w:t xml:space="preserve">OCPN-based simulation, but their approach relies on Petri net token semantics rather than autonomous agents and does not formalize cross-type interaction patterns as a named taxonomy. Kirchdorfer et al. [5] demonstrated that agent-based simulation discovery is effective, winning Best Paper at ICPM 2024, but their agents model </w:t>
      </w:r>
      <w:r>
        <w:rPr>
          <w:i/>
          <w:iCs/>
        </w:rPr>
        <w:t>resources</w:t>
      </w:r>
      <w:r>
        <w:t xml:space="preserve"> (workers, machines) operating on a single object type, not interacting object types with autonomous lifecycles.</w:t>
      </w:r>
    </w:p>
    <w:p w14:paraId="4DD42A0A" w14:textId="77777777" w:rsidR="00472A10" w:rsidRDefault="00000000">
      <w:pPr>
        <w:spacing w:after="120" w:line="276" w:lineRule="auto"/>
        <w:ind w:firstLine="360"/>
        <w:jc w:val="both"/>
      </w:pPr>
      <w:r>
        <w:t xml:space="preserve">SimOC bridges these two lines of work. It models </w:t>
      </w:r>
      <w:r>
        <w:rPr>
          <w:i/>
          <w:iCs/>
        </w:rPr>
        <w:t>object types as agents</w:t>
      </w:r>
      <w:r>
        <w:t xml:space="preserve">, where each order, item, and package is an autonomous agent with a discovered behavioral profile, and learns five </w:t>
      </w:r>
      <w:r>
        <w:rPr>
          <w:i/>
          <w:iCs/>
        </w:rPr>
        <w:t>interaction patterns</w:t>
      </w:r>
      <w:r>
        <w:t xml:space="preserve"> that govern how agents of different types coordinate. The key insight is that complex process behavior (e.g., a 30-minute synchronization delay at packing) </w:t>
      </w:r>
      <w:r>
        <w:rPr>
          <w:i/>
          <w:iCs/>
        </w:rPr>
        <w:t>emerges</w:t>
      </w:r>
      <w:r>
        <w:t xml:space="preserve"> from simple agent rules interacting, rather than being encoded as a single opaque duration distribution.</w:t>
      </w:r>
    </w:p>
    <w:p w14:paraId="5F5DB279" w14:textId="77777777" w:rsidR="00472A10" w:rsidRDefault="00000000">
      <w:pPr>
        <w:spacing w:after="120" w:line="276" w:lineRule="auto"/>
        <w:ind w:firstLine="360"/>
        <w:jc w:val="both"/>
      </w:pPr>
      <w:r>
        <w:rPr>
          <w:b/>
          <w:bCs/>
        </w:rPr>
        <w:t xml:space="preserve">Contributions. </w:t>
      </w:r>
      <w:r>
        <w:t>(1) A taxonomy of five interaction patterns for object-centric simulation: spawning, synchronization, binding, batching, and release. (2) Discovery algorithms for each pattern from OCEL 2.0 event logs. (3) A complete, reproducible simulation pipeline (7 stages, 155 tests, open-source implementation). (4) Evaluation on two benchmark datasets demonstrating significant advantages over flat-log and independent baselines on O2O structural metrics.</w:t>
      </w:r>
    </w:p>
    <w:p w14:paraId="2894BAED" w14:textId="77777777" w:rsidR="00472A10" w:rsidRDefault="00000000">
      <w:pPr>
        <w:pStyle w:val="Heading1"/>
      </w:pPr>
      <w:r>
        <w:t>2. Related Work</w:t>
      </w:r>
    </w:p>
    <w:p w14:paraId="6CD3F04F" w14:textId="77777777" w:rsidR="00472A10" w:rsidRDefault="00000000">
      <w:pPr>
        <w:pStyle w:val="Heading2"/>
      </w:pPr>
      <w:r>
        <w:t>2.1 Business Process Simulation Discovery</w:t>
      </w:r>
    </w:p>
    <w:p w14:paraId="19B6FB37" w14:textId="77777777" w:rsidR="00472A10" w:rsidRDefault="00000000">
      <w:pPr>
        <w:spacing w:after="120" w:line="276" w:lineRule="auto"/>
        <w:jc w:val="both"/>
      </w:pPr>
      <w:r>
        <w:t>The dominant paradigm for BPS discovery follows the Simod pipeline [1]: discover a BPMN model using Split Miner, fit arrival rates and activity durations from the event log, discover resource pools, and simulate using a discrete-event engine. Chapela-Campa et al. [1] formalized this pipeline and demonstrated its effectiveness on traditional (single-case) event logs. López-Pintado et al. [6] extended BPS discovery with data-aware simulation, incorporating case attributes that influence branching decisions at gateways. These approaches operate on XES or CSV event logs with a single case notion.</w:t>
      </w:r>
    </w:p>
    <w:p w14:paraId="1BD031D8" w14:textId="77777777" w:rsidR="00472A10" w:rsidRDefault="00000000">
      <w:pPr>
        <w:pStyle w:val="Heading2"/>
      </w:pPr>
      <w:r>
        <w:t>2.2 Agent-Based Process Simulation</w:t>
      </w:r>
    </w:p>
    <w:p w14:paraId="1D14DC2D" w14:textId="77777777" w:rsidR="00472A10" w:rsidRDefault="00000000">
      <w:pPr>
        <w:spacing w:after="120" w:line="276" w:lineRule="auto"/>
        <w:jc w:val="both"/>
      </w:pPr>
      <w:r>
        <w:t>Kirchdorfer et al. [5] introduced AgentSimulator, which models resources as autonomous agents with learned behavioral profiles. Each agent (e.g., a nurse, a warehouse worker) has a set of capabilities, agent-specific processing time distributions, and a schedule discovered from the event log. While the system handles multiple concurrent cases, it operates on a single object type (the case) with agents representing resources, not the objects themselves. AgentSimulator demonstrated that the agent paradigm captures resource contention, scheduling effects, and actor-dependent control-flow variations that process-model-based simulation misses, winning Best Paper at ICPM 2024.</w:t>
      </w:r>
    </w:p>
    <w:p w14:paraId="444F605F" w14:textId="77777777" w:rsidR="00472A10" w:rsidRDefault="00000000">
      <w:pPr>
        <w:pStyle w:val="Heading2"/>
      </w:pPr>
      <w:r>
        <w:t>2.3 Object-Centric Process Mining and Simulation</w:t>
      </w:r>
    </w:p>
    <w:p w14:paraId="3430F4EE" w14:textId="77777777" w:rsidR="00472A10" w:rsidRDefault="00000000">
      <w:pPr>
        <w:spacing w:after="120" w:line="276" w:lineRule="auto"/>
        <w:jc w:val="both"/>
      </w:pPr>
      <w:r>
        <w:t xml:space="preserve">Object-centric process mining [7] extends traditional process mining to logs with multiple interacting object types. The OCEL 2.0 standard [2] introduced O2O relations, enabling explicit representation of structural relationships between objects. Knopp et al. [4] proposed the first approach to discovering object-centric simulation models, using Object-Centric Petri Nets (OCPNs) with Object Relationship Multiplicity Distributions (ORMDs). Their approach has two components: an object </w:t>
      </w:r>
      <w:r>
        <w:lastRenderedPageBreak/>
        <w:t>component that generates objects resembling observed multiplicities, and a behavioral component that routes related objects through the discovered OCPN. However, the simulation relies on Petri net token semantics rather than autonomous agents, and does not formalize interaction patterns such as spawning, synchronization, binding, batching, or release as a named taxonomy.</w:t>
      </w:r>
    </w:p>
    <w:p w14:paraId="55310ED3" w14:textId="77777777" w:rsidR="00472A10" w:rsidRDefault="00000000">
      <w:pPr>
        <w:pStyle w:val="Heading2"/>
      </w:pPr>
      <w:r>
        <w:t>2.4 Positioning</w:t>
      </w:r>
    </w:p>
    <w:p w14:paraId="56128F9D" w14:textId="77777777" w:rsidR="00472A10" w:rsidRDefault="00472A10">
      <w:pPr>
        <w:spacing w:after="120"/>
      </w:pPr>
    </w:p>
    <w:p w14:paraId="211C6782" w14:textId="77777777" w:rsidR="00472A10" w:rsidRDefault="00000000">
      <w:pPr>
        <w:spacing w:after="80"/>
        <w:jc w:val="center"/>
      </w:pPr>
      <w:r>
        <w:rPr>
          <w:b/>
          <w:bCs/>
          <w:sz w:val="20"/>
          <w:szCs w:val="20"/>
        </w:rPr>
        <w:t>Table 1. Positioning of SimOC relative to existing approaches.</w:t>
      </w:r>
    </w:p>
    <w:tbl>
      <w:tblPr>
        <w:tblW w:w="9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566"/>
      </w:tblGrid>
      <w:tr w:rsidR="00472A10" w14:paraId="42D05340"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80" w:type="dxa"/>
              <w:bottom w:w="40" w:type="dxa"/>
              <w:right w:w="80" w:type="dxa"/>
            </w:tcMar>
          </w:tcPr>
          <w:p w14:paraId="59BBA82A" w14:textId="77777777" w:rsidR="00472A10" w:rsidRDefault="00472A10">
            <w:pPr>
              <w:jc w:val="center"/>
            </w:pPr>
          </w:p>
        </w:tc>
        <w:tc>
          <w:tcPr>
            <w:tcW w:w="30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80" w:type="dxa"/>
              <w:bottom w:w="40" w:type="dxa"/>
              <w:right w:w="80" w:type="dxa"/>
            </w:tcMar>
          </w:tcPr>
          <w:p w14:paraId="0F2F271B" w14:textId="77777777" w:rsidR="00472A10" w:rsidRDefault="00000000">
            <w:pPr>
              <w:jc w:val="center"/>
            </w:pPr>
            <w:r>
              <w:rPr>
                <w:b/>
                <w:bCs/>
                <w:sz w:val="20"/>
                <w:szCs w:val="20"/>
              </w:rPr>
              <w:t>Single-Case-Notion</w:t>
            </w:r>
          </w:p>
        </w:tc>
        <w:tc>
          <w:tcPr>
            <w:tcW w:w="3566" w:type="dxa"/>
            <w:tcBorders>
              <w:top w:val="single" w:sz="1" w:space="0" w:color="000000"/>
              <w:left w:val="single" w:sz="1" w:space="0" w:color="000000"/>
              <w:bottom w:val="single" w:sz="1" w:space="0" w:color="000000"/>
              <w:right w:val="single" w:sz="1" w:space="0" w:color="000000"/>
            </w:tcBorders>
            <w:shd w:val="clear" w:color="auto" w:fill="E8E8E8"/>
            <w:tcMar>
              <w:top w:w="40" w:type="dxa"/>
              <w:left w:w="80" w:type="dxa"/>
              <w:bottom w:w="40" w:type="dxa"/>
              <w:right w:w="80" w:type="dxa"/>
            </w:tcMar>
          </w:tcPr>
          <w:p w14:paraId="1EFBF41A" w14:textId="77777777" w:rsidR="00472A10" w:rsidRDefault="00000000">
            <w:pPr>
              <w:jc w:val="center"/>
            </w:pPr>
            <w:r>
              <w:rPr>
                <w:b/>
                <w:bCs/>
                <w:sz w:val="20"/>
                <w:szCs w:val="20"/>
              </w:rPr>
              <w:t>Object-Centric</w:t>
            </w:r>
          </w:p>
        </w:tc>
      </w:tr>
      <w:tr w:rsidR="00472A10" w14:paraId="5F93B37B"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D1694DE" w14:textId="77777777" w:rsidR="00472A10" w:rsidRDefault="00000000">
            <w:r>
              <w:rPr>
                <w:sz w:val="20"/>
                <w:szCs w:val="20"/>
              </w:rPr>
              <w:t>Process-model-based sim.</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659E196" w14:textId="77777777" w:rsidR="00472A10" w:rsidRDefault="00000000">
            <w:pPr>
              <w:jc w:val="center"/>
            </w:pPr>
            <w:r>
              <w:rPr>
                <w:sz w:val="20"/>
                <w:szCs w:val="20"/>
              </w:rPr>
              <w:t>Simod [1]</w:t>
            </w:r>
          </w:p>
        </w:tc>
        <w:tc>
          <w:tcPr>
            <w:tcW w:w="35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13028A2" w14:textId="77777777" w:rsidR="00472A10" w:rsidRDefault="00000000">
            <w:pPr>
              <w:jc w:val="center"/>
            </w:pPr>
            <w:r>
              <w:rPr>
                <w:sz w:val="20"/>
                <w:szCs w:val="20"/>
              </w:rPr>
              <w:t>Knopp et al. [4]</w:t>
            </w:r>
          </w:p>
        </w:tc>
      </w:tr>
      <w:tr w:rsidR="00472A10" w14:paraId="5525B38A" w14:textId="77777777">
        <w:tblPrEx>
          <w:tblCellMar>
            <w:top w:w="0" w:type="dxa"/>
            <w:bottom w:w="0" w:type="dxa"/>
          </w:tblCellMar>
        </w:tblPrEx>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594D6D" w14:textId="77777777" w:rsidR="00472A10" w:rsidRDefault="00000000">
            <w:r>
              <w:rPr>
                <w:sz w:val="20"/>
                <w:szCs w:val="20"/>
              </w:rPr>
              <w:t>Agent-based sim.</w:t>
            </w:r>
          </w:p>
        </w:tc>
        <w:tc>
          <w:tcPr>
            <w:tcW w:w="30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CFC1CF9" w14:textId="77777777" w:rsidR="00472A10" w:rsidRDefault="00000000">
            <w:pPr>
              <w:jc w:val="center"/>
            </w:pPr>
            <w:r>
              <w:rPr>
                <w:sz w:val="20"/>
                <w:szCs w:val="20"/>
              </w:rPr>
              <w:t>AgentSimulator [5]</w:t>
            </w:r>
          </w:p>
        </w:tc>
        <w:tc>
          <w:tcPr>
            <w:tcW w:w="35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EF05626" w14:textId="77777777" w:rsidR="00472A10" w:rsidRDefault="00000000">
            <w:pPr>
              <w:jc w:val="center"/>
            </w:pPr>
            <w:r>
              <w:rPr>
                <w:sz w:val="20"/>
                <w:szCs w:val="20"/>
              </w:rPr>
              <w:t>SimOC (this paper)</w:t>
            </w:r>
          </w:p>
        </w:tc>
      </w:tr>
    </w:tbl>
    <w:p w14:paraId="226596C4" w14:textId="77777777" w:rsidR="00472A10" w:rsidRDefault="00472A10">
      <w:pPr>
        <w:spacing w:after="120"/>
      </w:pPr>
    </w:p>
    <w:p w14:paraId="2E55AAAE" w14:textId="77777777" w:rsidR="00472A10" w:rsidRDefault="00000000">
      <w:pPr>
        <w:spacing w:after="120" w:line="276" w:lineRule="auto"/>
        <w:jc w:val="both"/>
      </w:pPr>
      <w:r>
        <w:t>SimOC occupies the previously empty cell: agent-based simulation of object-centric processes. AgentSimulator’s agents represent resources operating on a single object type; SimOC’s agents represent the objects themselves (orders, items, packages), each with autonomous lifecycles that interact through discovered patterns.</w:t>
      </w:r>
    </w:p>
    <w:p w14:paraId="2781A802" w14:textId="77777777" w:rsidR="00472A10" w:rsidRDefault="00000000">
      <w:pPr>
        <w:pStyle w:val="Heading1"/>
      </w:pPr>
      <w:r>
        <w:t>3. Preliminaries</w:t>
      </w:r>
    </w:p>
    <w:p w14:paraId="3417238D" w14:textId="77777777" w:rsidR="00472A10" w:rsidRDefault="00000000">
      <w:pPr>
        <w:spacing w:after="120" w:line="276" w:lineRule="auto"/>
        <w:jc w:val="both"/>
      </w:pPr>
      <w:r>
        <w:rPr>
          <w:b/>
          <w:bCs/>
        </w:rPr>
        <w:t xml:space="preserve">Definition 1 (OCEL 2.0 Log). </w:t>
      </w:r>
      <w:r>
        <w:t>Following the OCEL 2.0 specification [2], an object-centric event log is a tuple L = (E, O, evtype, time, objtype, E2O, O2O, …) with additional elements for event/object attributes and dynamic attribute values. For our purposes we work with the projection onto events E, objects O, qualified event-to-object relations E2O ⊆ E × Qual × O, and qualified object-to-object relations O2O ⊆ O × Qual × O, where Qual is a set of relation qualifiers. Each event e ∈ E has an activity evtype(e) and timestamp time(e); each object o ∈ O has a type objtype(o). We write (e, o) ∈ E2O to mean (e, q, o) ∈ E2O for some qualifier q.</w:t>
      </w:r>
    </w:p>
    <w:p w14:paraId="76BBB55B" w14:textId="77777777" w:rsidR="00472A10" w:rsidRDefault="00000000">
      <w:pPr>
        <w:spacing w:after="120" w:line="276" w:lineRule="auto"/>
        <w:jc w:val="both"/>
      </w:pPr>
      <w:r>
        <w:rPr>
          <w:b/>
          <w:bCs/>
        </w:rPr>
        <w:t xml:space="preserve">Definition 2 (Object Lifecycle). </w:t>
      </w:r>
      <w:r>
        <w:t>The lifecycle of object o is the sequence of events ⟨e₁, e₂, …, eₙ⟩ where (eᵢ, o) ∈ E2O for all i, ordered by non-decreasing timestamp.</w:t>
      </w:r>
    </w:p>
    <w:p w14:paraId="1A295BCC" w14:textId="77777777" w:rsidR="00472A10" w:rsidRDefault="00000000">
      <w:pPr>
        <w:spacing w:after="120" w:line="276" w:lineRule="auto"/>
        <w:jc w:val="both"/>
      </w:pPr>
      <w:r>
        <w:rPr>
          <w:b/>
          <w:bCs/>
        </w:rPr>
        <w:t xml:space="preserve">Definition 3 (Root and Derived Types). </w:t>
      </w:r>
      <w:r>
        <w:t xml:space="preserve">An object type T is </w:t>
      </w:r>
      <w:r>
        <w:rPr>
          <w:i/>
          <w:iCs/>
        </w:rPr>
        <w:t>root</w:t>
      </w:r>
      <w:r>
        <w:t xml:space="preserve"> if objects of type T enter the system independently (requiring an arrival distribution). A type T is </w:t>
      </w:r>
      <w:r>
        <w:rPr>
          <w:i/>
          <w:iCs/>
        </w:rPr>
        <w:t>derived</w:t>
      </w:r>
      <w:r>
        <w:t xml:space="preserve"> if objects of type T are spawned by a parent type T′ (requiring a cardinality distribution).</w:t>
      </w:r>
    </w:p>
    <w:p w14:paraId="3FB35EC7" w14:textId="77777777" w:rsidR="00472A10" w:rsidRDefault="00000000">
      <w:pPr>
        <w:spacing w:after="120" w:line="276" w:lineRule="auto"/>
        <w:jc w:val="both"/>
      </w:pPr>
      <w:r>
        <w:rPr>
          <w:b/>
          <w:bCs/>
        </w:rPr>
        <w:t xml:space="preserve">Definition 4 (Object Interaction Graph). </w:t>
      </w:r>
      <w:r>
        <w:t>The OIG is a weighted graph G = (V, w) where V is the set of object types and w: V × V → ℝᵏ assigns a vector of interaction metrics to each ordered type pair, including E2O co-occurrence frequency, O2O relation count, temporal birth ordering, and birth co-occurrence fraction.</w:t>
      </w:r>
    </w:p>
    <w:p w14:paraId="5F47BE93" w14:textId="77777777" w:rsidR="00472A10" w:rsidRDefault="00000000">
      <w:pPr>
        <w:pStyle w:val="Heading1"/>
      </w:pPr>
      <w:r>
        <w:t>4. The SimOC Framework</w:t>
      </w:r>
    </w:p>
    <w:p w14:paraId="5E66F5C7" w14:textId="77777777" w:rsidR="00472A10" w:rsidRDefault="00000000">
      <w:pPr>
        <w:spacing w:after="120" w:line="276" w:lineRule="auto"/>
        <w:jc w:val="both"/>
      </w:pPr>
      <w:r>
        <w:t>SimOC operates in seven stages: (1) OCEL 2.0 ingestion, (2) type classification and spawning discovery, (3) per-type behavioral discovery, (4) interaction pattern discovery, (5) agent-based simulation, (6) synthetic OCEL 2.0 export, (7) evaluation.</w:t>
      </w:r>
    </w:p>
    <w:p w14:paraId="2EEFAE1C" w14:textId="77777777" w:rsidR="00472A10" w:rsidRDefault="00000000">
      <w:pPr>
        <w:pStyle w:val="Heading2"/>
      </w:pPr>
      <w:r>
        <w:lastRenderedPageBreak/>
        <w:t>4.1 Architecture</w:t>
      </w:r>
    </w:p>
    <w:p w14:paraId="3BF72158" w14:textId="77777777" w:rsidR="00472A10" w:rsidRDefault="00000000">
      <w:pPr>
        <w:spacing w:after="120" w:line="276" w:lineRule="auto"/>
        <w:jc w:val="both"/>
      </w:pPr>
      <w:r>
        <w:t xml:space="preserve">The simulation engine has three layers. </w:t>
      </w:r>
      <w:r>
        <w:rPr>
          <w:b/>
          <w:bCs/>
        </w:rPr>
        <w:t xml:space="preserve">Layer 1, Simulation Clock: </w:t>
      </w:r>
      <w:r>
        <w:t xml:space="preserve">A SimPy discrete-event environment maintaining a priority queue of future events. The clock jumps from event to event without tick-by-tick simulation. </w:t>
      </w:r>
      <w:r>
        <w:rPr>
          <w:b/>
          <w:bCs/>
        </w:rPr>
        <w:t xml:space="preserve">Layer 2, Agent Pools: </w:t>
      </w:r>
      <w:r>
        <w:t xml:space="preserve">For each object type, a pool of currently live agents. Each agent is a SimPy process (a Python coroutine) that yields at wait points, transitioning between states as events occur. </w:t>
      </w:r>
      <w:r>
        <w:rPr>
          <w:b/>
          <w:bCs/>
        </w:rPr>
        <w:t xml:space="preserve">Layer 3, Interaction Mediator: </w:t>
      </w:r>
      <w:r>
        <w:t>A central coordinator that listens for agent state changes and triggers cross-type interaction logic. The mediator is the only component with visibility across object types and implements all five interaction patterns.</w:t>
      </w:r>
    </w:p>
    <w:p w14:paraId="12C6F727" w14:textId="77777777" w:rsidR="00472A10" w:rsidRDefault="00472A10">
      <w:pPr>
        <w:spacing w:after="120"/>
      </w:pPr>
    </w:p>
    <w:p w14:paraId="76043FE6" w14:textId="77777777" w:rsidR="00472A10" w:rsidRDefault="00000000">
      <w:pPr>
        <w:jc w:val="center"/>
      </w:pPr>
      <w:r>
        <w:rPr>
          <w:noProof/>
        </w:rPr>
        <w:drawing>
          <wp:inline distT="0" distB="0" distL="0" distR="0" wp14:anchorId="59563ACC" wp14:editId="5C1A98B2">
            <wp:extent cx="36195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5486400"/>
                    </a:xfrm>
                    <a:prstGeom prst="rect">
                      <a:avLst/>
                    </a:prstGeom>
                  </pic:spPr>
                </pic:pic>
              </a:graphicData>
            </a:graphic>
          </wp:inline>
        </w:drawing>
      </w:r>
    </w:p>
    <w:p w14:paraId="1C144541" w14:textId="77777777" w:rsidR="00472A10" w:rsidRDefault="00000000">
      <w:pPr>
        <w:spacing w:after="200"/>
        <w:jc w:val="center"/>
      </w:pPr>
      <w:r>
        <w:rPr>
          <w:i/>
          <w:iCs/>
          <w:sz w:val="20"/>
          <w:szCs w:val="20"/>
        </w:rPr>
        <w:t>Fig. 1. SimOC execution pipeline: discovery phases (Stages 1 to 4) feed learned parameters into the three-layer simulation engine (Stage 5), which produces synthetic OCEL 2.0 logs (Stage 6) for evaluation (Stage 7).</w:t>
      </w:r>
    </w:p>
    <w:p w14:paraId="50B19B44" w14:textId="77777777" w:rsidR="00472A10" w:rsidRDefault="00000000">
      <w:pPr>
        <w:pStyle w:val="Heading2"/>
      </w:pPr>
      <w:r>
        <w:t>4.2 Type Classification and Spawning</w:t>
      </w:r>
    </w:p>
    <w:p w14:paraId="489E5293" w14:textId="77777777" w:rsidR="00472A10" w:rsidRDefault="00000000">
      <w:pPr>
        <w:spacing w:after="120" w:line="276" w:lineRule="auto"/>
        <w:jc w:val="both"/>
      </w:pPr>
      <w:r>
        <w:rPr>
          <w:b/>
          <w:bCs/>
        </w:rPr>
        <w:t xml:space="preserve">Intuition. </w:t>
      </w:r>
      <w:r>
        <w:t>Some object types enter the system independently (root types), while others are created by existing objects (derived types). Orders arrive independently; items are created by orders.</w:t>
      </w:r>
    </w:p>
    <w:p w14:paraId="7CD2A731" w14:textId="77777777" w:rsidR="00472A10" w:rsidRDefault="00000000">
      <w:pPr>
        <w:spacing w:after="120" w:line="276" w:lineRule="auto"/>
        <w:jc w:val="both"/>
      </w:pPr>
      <w:r>
        <w:rPr>
          <w:b/>
          <w:bCs/>
        </w:rPr>
        <w:lastRenderedPageBreak/>
        <w:t xml:space="preserve">Algorithm. </w:t>
      </w:r>
      <w:r>
        <w:t>For each object type T, we compute the fraction of T’s births where another type T′ is present as a co-object. If this fraction exceeds 80% and T′ is typically born before T, then T is derived from T′. When multiple candidate parents exist, we prefer the one with explicit O2O relations to T. Types with few instances and long lifecycles (master data) are forced to root.</w:t>
      </w:r>
    </w:p>
    <w:p w14:paraId="3865022E" w14:textId="77777777" w:rsidR="00472A10" w:rsidRDefault="00000000">
      <w:pPr>
        <w:spacing w:after="120" w:line="276" w:lineRule="auto"/>
        <w:jc w:val="both"/>
      </w:pPr>
      <w:r>
        <w:rPr>
          <w:b/>
          <w:bCs/>
        </w:rPr>
        <w:t xml:space="preserve">Spawning. </w:t>
      </w:r>
      <w:r>
        <w:t>For each (parent, child) pair, we fit a cardinality distribution (Poisson, geometric, negative binomial, or empirical) to the observed children-per-parent counts via AIC selection.</w:t>
      </w:r>
    </w:p>
    <w:p w14:paraId="16117076" w14:textId="77777777" w:rsidR="00472A10" w:rsidRDefault="00000000">
      <w:pPr>
        <w:spacing w:after="120" w:line="276" w:lineRule="auto"/>
        <w:jc w:val="both"/>
      </w:pPr>
      <w:r>
        <w:rPr>
          <w:b/>
          <w:bCs/>
        </w:rPr>
        <w:t xml:space="preserve">Example. </w:t>
      </w:r>
      <w:r>
        <w:t>In the Order Management benchmark: orders are root (2000 instances), items are derived from orders (mean 3.83 items per order), packages are created through binding (not spawning).</w:t>
      </w:r>
    </w:p>
    <w:p w14:paraId="361418DD" w14:textId="77777777" w:rsidR="00472A10" w:rsidRDefault="00000000">
      <w:pPr>
        <w:pStyle w:val="Heading2"/>
      </w:pPr>
      <w:r>
        <w:t>4.3 Per-Type Behavioral Discovery</w:t>
      </w:r>
    </w:p>
    <w:p w14:paraId="3C0AA064" w14:textId="77777777" w:rsidR="00472A10" w:rsidRDefault="00000000">
      <w:pPr>
        <w:spacing w:after="120" w:line="276" w:lineRule="auto"/>
        <w:jc w:val="both"/>
      </w:pPr>
      <w:r>
        <w:t xml:space="preserve">For each object type, SimOC discovers: (a) </w:t>
      </w:r>
      <w:r>
        <w:rPr>
          <w:b/>
          <w:bCs/>
        </w:rPr>
        <w:t xml:space="preserve">arrival rates </w:t>
      </w:r>
      <w:r>
        <w:t xml:space="preserve">for root types, fitted as inter-arrival time distributions via MLE with stationarity testing; (b) </w:t>
      </w:r>
      <w:r>
        <w:rPr>
          <w:b/>
          <w:bCs/>
        </w:rPr>
        <w:t xml:space="preserve">activity durations </w:t>
      </w:r>
      <w:r>
        <w:t xml:space="preserve">per (type, activity) pair using empirical resampling to preserve multi-modal and heavy-tailed shapes; (c) </w:t>
      </w:r>
      <w:r>
        <w:rPr>
          <w:b/>
          <w:bCs/>
        </w:rPr>
        <w:t xml:space="preserve">branching probabilities </w:t>
      </w:r>
      <w:r>
        <w:t xml:space="preserve">at choice points in the per-type directly-follows graph; and (d) </w:t>
      </w:r>
      <w:r>
        <w:rPr>
          <w:b/>
          <w:bCs/>
        </w:rPr>
        <w:t xml:space="preserve">resource pools </w:t>
      </w:r>
      <w:r>
        <w:t>if event attributes include resource information.</w:t>
      </w:r>
    </w:p>
    <w:p w14:paraId="7EB7E874" w14:textId="77777777" w:rsidR="00472A10" w:rsidRDefault="00000000">
      <w:pPr>
        <w:pStyle w:val="Heading2"/>
      </w:pPr>
      <w:r>
        <w:t>4.4 Interaction Pattern Discovery</w:t>
      </w:r>
    </w:p>
    <w:p w14:paraId="705D98F5" w14:textId="77777777" w:rsidR="00472A10" w:rsidRDefault="00000000">
      <w:pPr>
        <w:spacing w:after="120" w:line="276" w:lineRule="auto"/>
        <w:jc w:val="both"/>
      </w:pPr>
      <w:r>
        <w:t>This is SimOC’s core contribution. We define five interaction patterns that together describe all cross-type coordination in object-centric processes.</w:t>
      </w:r>
    </w:p>
    <w:p w14:paraId="51C1E1B8" w14:textId="77777777" w:rsidR="00472A10" w:rsidRDefault="00000000">
      <w:pPr>
        <w:pStyle w:val="Heading3"/>
      </w:pPr>
      <w:r>
        <w:t>4.4.1 Spawning.</w:t>
      </w:r>
    </w:p>
    <w:p w14:paraId="15FD2D48" w14:textId="77777777" w:rsidR="00472A10" w:rsidRDefault="00000000">
      <w:pPr>
        <w:spacing w:after="120" w:line="276" w:lineRule="auto"/>
        <w:jc w:val="both"/>
      </w:pPr>
      <w:r>
        <w:t xml:space="preserve">One object creates one or more objects of a different type at birth. </w:t>
      </w:r>
      <w:r>
        <w:rPr>
          <w:i/>
          <w:iCs/>
        </w:rPr>
        <w:t>Example:</w:t>
      </w:r>
      <w:r>
        <w:t xml:space="preserve"> An order creates 3 items at “place order.” Discovery is performed in Stage 2 (Section 4.2).</w:t>
      </w:r>
    </w:p>
    <w:p w14:paraId="2CBEEA0A" w14:textId="77777777" w:rsidR="00472A10" w:rsidRDefault="00000000">
      <w:pPr>
        <w:pStyle w:val="Heading3"/>
      </w:pPr>
      <w:r>
        <w:t>4.4.2 Synchronization.</w:t>
      </w:r>
    </w:p>
    <w:p w14:paraId="33255507" w14:textId="77777777" w:rsidR="00472A10" w:rsidRDefault="00000000">
      <w:pPr>
        <w:spacing w:after="120" w:line="276" w:lineRule="auto"/>
        <w:jc w:val="both"/>
      </w:pPr>
      <w:r>
        <w:t xml:space="preserve">An activity waits until multiple sibling objects reach a required state before proceeding. </w:t>
      </w:r>
      <w:r>
        <w:rPr>
          <w:i/>
          <w:iCs/>
        </w:rPr>
        <w:t>Example:</w:t>
      </w:r>
      <w:r>
        <w:t xml:space="preserve"> Packing waits until ALL items of an order are picked.</w:t>
      </w:r>
    </w:p>
    <w:p w14:paraId="3A3BCDC0" w14:textId="77777777" w:rsidR="00472A10" w:rsidRDefault="00000000">
      <w:pPr>
        <w:spacing w:after="120" w:line="276" w:lineRule="auto"/>
        <w:ind w:firstLine="360"/>
        <w:jc w:val="both"/>
      </w:pPr>
      <w:r>
        <w:t xml:space="preserve">For each event involving multiple children of the same parent, we compute: </w:t>
      </w:r>
      <w:r>
        <w:rPr>
          <w:i/>
          <w:iCs/>
        </w:rPr>
        <w:t>readiness timestamps</w:t>
      </w:r>
      <w:r>
        <w:t xml:space="preserve"> (each child’s last event before the sync event), </w:t>
      </w:r>
      <w:r>
        <w:rPr>
          <w:i/>
          <w:iCs/>
        </w:rPr>
        <w:t>wait spread</w:t>
      </w:r>
      <w:r>
        <w:t xml:space="preserve"> (latest ready minus earliest ready), and </w:t>
      </w:r>
      <w:r>
        <w:rPr>
          <w:i/>
          <w:iCs/>
        </w:rPr>
        <w:t>sync delay</w:t>
      </w:r>
      <w:r>
        <w:t xml:space="preserve"> (sync event time minus latest ready time). The sync condition is classified as ALL (≥90% of instances have all children present) or THRESHOLD. Formally, let e_sync be a synchronization event for parent p with synced children C_p = {c₁, …, cₖ}. Define ready(cᵢ) = time(e′) where e′ is cᵢ’s most recent event strictly before e_sync. The sync delay is then δ = time(e_sync) − max(ready(cᵢ)) for all cᵢ ∈ C_p. The maximum is taken because the sync event cannot fire until the slowest child has become ready, following standard fork-join synchronization semantics.</w:t>
      </w:r>
    </w:p>
    <w:p w14:paraId="23512148" w14:textId="77777777" w:rsidR="00472A10" w:rsidRDefault="00000000">
      <w:pPr>
        <w:pStyle w:val="Heading3"/>
      </w:pPr>
      <w:r>
        <w:t>4.4.3 Binding.</w:t>
      </w:r>
    </w:p>
    <w:p w14:paraId="7A769B86" w14:textId="77777777" w:rsidR="00472A10" w:rsidRDefault="00000000">
      <w:pPr>
        <w:spacing w:after="120" w:line="276" w:lineRule="auto"/>
        <w:jc w:val="both"/>
      </w:pPr>
      <w:r>
        <w:t xml:space="preserve">Objects of different types become associated mid-process, after both already exist. </w:t>
      </w:r>
      <w:r>
        <w:rPr>
          <w:i/>
          <w:iCs/>
        </w:rPr>
        <w:t>Example:</w:t>
      </w:r>
      <w:r>
        <w:t xml:space="preserve"> Items from multiple orders are grouped into a package at “create package.”</w:t>
      </w:r>
    </w:p>
    <w:p w14:paraId="333951C0" w14:textId="77777777" w:rsidR="00472A10" w:rsidRDefault="00000000">
      <w:pPr>
        <w:spacing w:after="120" w:line="276" w:lineRule="auto"/>
        <w:ind w:firstLine="360"/>
        <w:jc w:val="both"/>
      </w:pPr>
      <w:r>
        <w:t xml:space="preserve">An O2O relation is classified as binding (not spawning) when the target object was born strictly before the source object. This birth-order check is the key algorithmic insight: items exist before packages, so the item-to-package relation is binding, not spawning. In the Order Management </w:t>
      </w:r>
      <w:r>
        <w:lastRenderedPageBreak/>
        <w:t>benchmark, 94% of packages contain items from multiple orders, and the binding is genuinely cross-order.</w:t>
      </w:r>
    </w:p>
    <w:p w14:paraId="39020625" w14:textId="77777777" w:rsidR="00472A10" w:rsidRDefault="00000000">
      <w:pPr>
        <w:pStyle w:val="Heading3"/>
      </w:pPr>
      <w:r>
        <w:t>4.4.4 Batching.</w:t>
      </w:r>
    </w:p>
    <w:p w14:paraId="1DB299A7" w14:textId="77777777" w:rsidR="00472A10" w:rsidRDefault="00000000">
      <w:pPr>
        <w:spacing w:after="120" w:line="276" w:lineRule="auto"/>
        <w:jc w:val="both"/>
      </w:pPr>
      <w:r>
        <w:t xml:space="preserve">An activity accumulates objects over time and processes them together. </w:t>
      </w:r>
      <w:r>
        <w:rPr>
          <w:i/>
          <w:iCs/>
        </w:rPr>
        <w:t>Example:</w:t>
      </w:r>
      <w:r>
        <w:t xml:space="preserve"> Multiple orders are shipped together in one shipment event. An activity is a batching candidate if it involves multiple objects of the same type from different parents with different ready times. Trigger classification tests for schedule periodicity (CV of inter-batch times &lt; 0.3) or threshold consistency (CV of batch sizes &lt; 0.3).</w:t>
      </w:r>
    </w:p>
    <w:p w14:paraId="67BD57D5" w14:textId="77777777" w:rsidR="00472A10" w:rsidRDefault="00000000">
      <w:pPr>
        <w:pStyle w:val="Heading3"/>
      </w:pPr>
      <w:r>
        <w:t>4.4.5 Release.</w:t>
      </w:r>
    </w:p>
    <w:p w14:paraId="65DF811C" w14:textId="77777777" w:rsidR="00472A10" w:rsidRDefault="00000000">
      <w:pPr>
        <w:spacing w:after="120" w:line="276" w:lineRule="auto"/>
        <w:jc w:val="both"/>
      </w:pPr>
      <w:r>
        <w:t xml:space="preserve">Associated objects decouple after a shared activity. </w:t>
      </w:r>
      <w:r>
        <w:rPr>
          <w:i/>
          <w:iCs/>
        </w:rPr>
        <w:t>Example:</w:t>
      </w:r>
      <w:r>
        <w:t xml:space="preserve"> After packing, items decouple from their parent order. The order continues to shipping while items end their lifecycle. For each co-occurring object pair, the release point is the last event where both participate. A release is confirmed if at least one object has subsequent events without the other.</w:t>
      </w:r>
    </w:p>
    <w:p w14:paraId="4A68FD3E" w14:textId="77777777" w:rsidR="00472A10" w:rsidRDefault="00000000">
      <w:pPr>
        <w:pStyle w:val="Heading2"/>
      </w:pPr>
      <w:r>
        <w:t>4.5 Agent-Based Simulation</w:t>
      </w:r>
    </w:p>
    <w:p w14:paraId="38C806D8" w14:textId="77777777" w:rsidR="00472A10" w:rsidRDefault="00000000">
      <w:pPr>
        <w:spacing w:after="120" w:line="276" w:lineRule="auto"/>
        <w:jc w:val="both"/>
      </w:pPr>
      <w:r>
        <w:rPr>
          <w:b/>
          <w:bCs/>
        </w:rPr>
        <w:t xml:space="preserve">Root agents </w:t>
      </w:r>
      <w:r>
        <w:t xml:space="preserve">are created by arrival generators according to learned inter-arrival distributions. Upon creation, a root agent spawns its derived children (based on cardinality distributions) and follows its per-type DFG. </w:t>
      </w:r>
      <w:r>
        <w:rPr>
          <w:b/>
          <w:bCs/>
        </w:rPr>
        <w:t xml:space="preserve">Derived agents </w:t>
      </w:r>
      <w:r>
        <w:t>start when their parent reaches the birth activity. They follow their own DFG independently, signaling readiness to the mediator at synchronization points.</w:t>
      </w:r>
    </w:p>
    <w:p w14:paraId="6CBB65B5" w14:textId="77777777" w:rsidR="00472A10" w:rsidRDefault="00000000">
      <w:pPr>
        <w:spacing w:after="120" w:line="276" w:lineRule="auto"/>
        <w:ind w:firstLine="360"/>
        <w:jc w:val="both"/>
      </w:pPr>
      <w:r>
        <w:rPr>
          <w:b/>
          <w:bCs/>
        </w:rPr>
        <w:t xml:space="preserve">The mediator </w:t>
      </w:r>
      <w:r>
        <w:t>coordinates cross-type interactions. At sync points, the parent yields until all children signal readiness, then proceeds after a sampled sync delay. At binding points, accumulated items are grouped into packages using parent-affinity selection (items sharing a parent are preferred). At batch points, agents queue until a threshold is reached or a timeout fires. Event composition uses a learned per-activity type template from the real log, ensuring each synthetic event has the correct mix of object types.</w:t>
      </w:r>
    </w:p>
    <w:p w14:paraId="6C39B767" w14:textId="77777777" w:rsidR="00472A10" w:rsidRDefault="00000000">
      <w:pPr>
        <w:pStyle w:val="Heading2"/>
      </w:pPr>
      <w:r>
        <w:t>4.6 Synthetic OCEL 2.0 Export</w:t>
      </w:r>
    </w:p>
    <w:p w14:paraId="7D3DE4EC" w14:textId="77777777" w:rsidR="00472A10" w:rsidRDefault="00000000">
      <w:pPr>
        <w:spacing w:after="120" w:line="276" w:lineRule="auto"/>
        <w:jc w:val="both"/>
      </w:pPr>
      <w:r>
        <w:t>Simulation output is mapped to the OCEL 2.0 schema: simulation timestamps are converted to absolute datetimes, E2O relations are constructed from event object lists, and O2O relations are constructed from the mediator’s association registry. The output is validated via PM4Py round-trip import.</w:t>
      </w:r>
    </w:p>
    <w:p w14:paraId="4A843156" w14:textId="77777777" w:rsidR="00472A10" w:rsidRDefault="00000000">
      <w:pPr>
        <w:pStyle w:val="Heading1"/>
      </w:pPr>
      <w:r>
        <w:t>5. Evaluation</w:t>
      </w:r>
    </w:p>
    <w:p w14:paraId="4C6596F8" w14:textId="77777777" w:rsidR="00472A10" w:rsidRDefault="00000000">
      <w:pPr>
        <w:pStyle w:val="Heading2"/>
      </w:pPr>
      <w:r>
        <w:t>5.1 Setup</w:t>
      </w:r>
    </w:p>
    <w:p w14:paraId="705D830E" w14:textId="77777777" w:rsidR="00472A10" w:rsidRDefault="00000000">
      <w:pPr>
        <w:spacing w:after="120" w:line="276" w:lineRule="auto"/>
        <w:jc w:val="both"/>
      </w:pPr>
      <w:r>
        <w:rPr>
          <w:b/>
          <w:bCs/>
        </w:rPr>
        <w:t xml:space="preserve">Datasets. </w:t>
      </w:r>
      <w:r>
        <w:t>(1) Knopp’s Order Management OCEL 2.0 benchmark [8]: 21,008 events, 10,840 objects, 6 types, 28,391 O2O relations. This is a native OCEL 2.0 log with rich interaction patterns including cross-order package binding. (2) SAP P2P legacy log [9]: 24,854 events, 74,489 objects, 8 types (converted from OCEL 1.0, no O2O relations).</w:t>
      </w:r>
    </w:p>
    <w:p w14:paraId="4E799D8E" w14:textId="77777777" w:rsidR="00472A10" w:rsidRDefault="00000000">
      <w:pPr>
        <w:spacing w:after="120" w:line="276" w:lineRule="auto"/>
        <w:ind w:firstLine="360"/>
        <w:jc w:val="both"/>
      </w:pPr>
      <w:r>
        <w:rPr>
          <w:b/>
          <w:bCs/>
        </w:rPr>
        <w:lastRenderedPageBreak/>
        <w:t xml:space="preserve">Baselines. </w:t>
      </w:r>
      <w:r>
        <w:t xml:space="preserve">(1) </w:t>
      </w:r>
      <w:r>
        <w:rPr>
          <w:i/>
          <w:iCs/>
        </w:rPr>
        <w:t>Flat</w:t>
      </w:r>
      <w:r>
        <w:t xml:space="preserve">: flatten the OCEL to a single case type (orders) and simulate using only that type’s DFG and durations. This baseline demonstrates why object-centric simulation is necessary. (2) </w:t>
      </w:r>
      <w:r>
        <w:rPr>
          <w:i/>
          <w:iCs/>
        </w:rPr>
        <w:t>Independent</w:t>
      </w:r>
      <w:r>
        <w:t>: simulate each type independently using its own DFG and durations with no interaction patterns. This baseline demonstrates why interaction patterns are necessary.</w:t>
      </w:r>
    </w:p>
    <w:p w14:paraId="2A9E38F6" w14:textId="77777777" w:rsidR="00472A10" w:rsidRDefault="00000000">
      <w:pPr>
        <w:spacing w:after="120" w:line="276" w:lineRule="auto"/>
        <w:ind w:firstLine="360"/>
        <w:jc w:val="both"/>
      </w:pPr>
      <w:r>
        <w:rPr>
          <w:b/>
          <w:bCs/>
        </w:rPr>
        <w:t xml:space="preserve">Metrics. </w:t>
      </w:r>
      <w:r>
        <w:t xml:space="preserve">Three levels. </w:t>
      </w:r>
      <w:r>
        <w:rPr>
          <w:i/>
          <w:iCs/>
        </w:rPr>
        <w:t>Activity-level</w:t>
      </w:r>
      <w:r>
        <w:t xml:space="preserve">: activity frequency Earth Mover’s Distance (EMD), arrival rate error. </w:t>
      </w:r>
      <w:r>
        <w:rPr>
          <w:i/>
          <w:iCs/>
        </w:rPr>
        <w:t>Object-level</w:t>
      </w:r>
      <w:r>
        <w:t xml:space="preserve">: cardinality KS test. </w:t>
      </w:r>
      <w:r>
        <w:rPr>
          <w:i/>
          <w:iCs/>
        </w:rPr>
        <w:t>Structural</w:t>
      </w:r>
      <w:r>
        <w:t>: OC-DFG cosine similarity, O2O fidelity (distribution similarity of binding group compositions), convergence/divergence KS (distribution similarity of objects-per-event counts). All reported as 10-run mean ± std with Wilcoxon signed-rank significance tests.</w:t>
      </w:r>
    </w:p>
    <w:p w14:paraId="12FC102F" w14:textId="77777777" w:rsidR="00472A10" w:rsidRDefault="00000000">
      <w:pPr>
        <w:pStyle w:val="Heading2"/>
      </w:pPr>
      <w:r>
        <w:t>5.2 Results (Order Management)</w:t>
      </w:r>
    </w:p>
    <w:p w14:paraId="6B05943E" w14:textId="77777777" w:rsidR="00472A10" w:rsidRDefault="00472A10">
      <w:pPr>
        <w:spacing w:after="120"/>
      </w:pPr>
    </w:p>
    <w:p w14:paraId="5014FF11" w14:textId="77777777" w:rsidR="00472A10" w:rsidRDefault="00000000">
      <w:pPr>
        <w:spacing w:after="80"/>
        <w:jc w:val="center"/>
      </w:pPr>
      <w:r>
        <w:rPr>
          <w:b/>
          <w:bCs/>
          <w:sz w:val="20"/>
          <w:szCs w:val="20"/>
        </w:rPr>
        <w:t>Table 2. Evaluation results on the Order Management benchmark (10-run mean ± std). ↓ = lower is better, ↑ = higher is better.</w:t>
      </w:r>
    </w:p>
    <w:tbl>
      <w:tblPr>
        <w:tblW w:w="85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1800"/>
        <w:gridCol w:w="2166"/>
      </w:tblGrid>
      <w:tr w:rsidR="00472A10" w14:paraId="25DC3E7E"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80" w:type="dxa"/>
              <w:bottom w:w="40" w:type="dxa"/>
              <w:right w:w="80" w:type="dxa"/>
            </w:tcMar>
          </w:tcPr>
          <w:p w14:paraId="508A026C" w14:textId="77777777" w:rsidR="00472A10" w:rsidRDefault="00000000">
            <w:pPr>
              <w:jc w:val="center"/>
            </w:pPr>
            <w:r>
              <w:rPr>
                <w:b/>
                <w:bCs/>
                <w:sz w:val="20"/>
                <w:szCs w:val="20"/>
              </w:rPr>
              <w:t>Metric</w:t>
            </w:r>
          </w:p>
        </w:tc>
        <w:tc>
          <w:tcPr>
            <w:tcW w:w="18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80" w:type="dxa"/>
              <w:bottom w:w="40" w:type="dxa"/>
              <w:right w:w="80" w:type="dxa"/>
            </w:tcMar>
          </w:tcPr>
          <w:p w14:paraId="598BBB81" w14:textId="77777777" w:rsidR="00472A10" w:rsidRDefault="00000000">
            <w:pPr>
              <w:jc w:val="center"/>
            </w:pPr>
            <w:r>
              <w:rPr>
                <w:b/>
                <w:bCs/>
                <w:sz w:val="20"/>
                <w:szCs w:val="20"/>
              </w:rPr>
              <w:t>SimOC</w:t>
            </w:r>
          </w:p>
        </w:tc>
        <w:tc>
          <w:tcPr>
            <w:tcW w:w="1800" w:type="dxa"/>
            <w:tcBorders>
              <w:top w:val="single" w:sz="1" w:space="0" w:color="000000"/>
              <w:left w:val="single" w:sz="1" w:space="0" w:color="000000"/>
              <w:bottom w:val="single" w:sz="1" w:space="0" w:color="000000"/>
              <w:right w:val="single" w:sz="1" w:space="0" w:color="000000"/>
            </w:tcBorders>
            <w:shd w:val="clear" w:color="auto" w:fill="E8E8E8"/>
            <w:tcMar>
              <w:top w:w="40" w:type="dxa"/>
              <w:left w:w="80" w:type="dxa"/>
              <w:bottom w:w="40" w:type="dxa"/>
              <w:right w:w="80" w:type="dxa"/>
            </w:tcMar>
          </w:tcPr>
          <w:p w14:paraId="60A52EA2" w14:textId="77777777" w:rsidR="00472A10" w:rsidRDefault="00000000">
            <w:pPr>
              <w:jc w:val="center"/>
            </w:pPr>
            <w:r>
              <w:rPr>
                <w:b/>
                <w:bCs/>
                <w:sz w:val="20"/>
                <w:szCs w:val="20"/>
              </w:rPr>
              <w:t>Flat</w:t>
            </w:r>
          </w:p>
        </w:tc>
        <w:tc>
          <w:tcPr>
            <w:tcW w:w="2166" w:type="dxa"/>
            <w:tcBorders>
              <w:top w:val="single" w:sz="1" w:space="0" w:color="000000"/>
              <w:left w:val="single" w:sz="1" w:space="0" w:color="000000"/>
              <w:bottom w:val="single" w:sz="1" w:space="0" w:color="000000"/>
              <w:right w:val="single" w:sz="1" w:space="0" w:color="000000"/>
            </w:tcBorders>
            <w:shd w:val="clear" w:color="auto" w:fill="E8E8E8"/>
            <w:tcMar>
              <w:top w:w="40" w:type="dxa"/>
              <w:left w:w="80" w:type="dxa"/>
              <w:bottom w:w="40" w:type="dxa"/>
              <w:right w:w="80" w:type="dxa"/>
            </w:tcMar>
          </w:tcPr>
          <w:p w14:paraId="3BFAF6D6" w14:textId="77777777" w:rsidR="00472A10" w:rsidRDefault="00000000">
            <w:pPr>
              <w:jc w:val="center"/>
            </w:pPr>
            <w:r>
              <w:rPr>
                <w:b/>
                <w:bCs/>
                <w:sz w:val="20"/>
                <w:szCs w:val="20"/>
              </w:rPr>
              <w:t>Independent</w:t>
            </w:r>
          </w:p>
        </w:tc>
      </w:tr>
      <w:tr w:rsidR="00472A10" w14:paraId="2D7CD1C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0D563DF2" w14:textId="77777777" w:rsidR="00472A10" w:rsidRDefault="00000000">
            <w:r>
              <w:rPr>
                <w:sz w:val="20"/>
                <w:szCs w:val="20"/>
              </w:rPr>
              <w:t>Activity freq. EMD ↓</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0931C0B" w14:textId="77777777" w:rsidR="00472A10" w:rsidRDefault="00000000">
            <w:pPr>
              <w:jc w:val="center"/>
            </w:pPr>
            <w:r>
              <w:rPr>
                <w:sz w:val="20"/>
                <w:szCs w:val="20"/>
              </w:rPr>
              <w:t>0.57 ± 0.01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6A7B580" w14:textId="77777777" w:rsidR="00472A10" w:rsidRDefault="00000000">
            <w:pPr>
              <w:jc w:val="center"/>
            </w:pPr>
            <w:r>
              <w:rPr>
                <w:sz w:val="20"/>
                <w:szCs w:val="20"/>
              </w:rPr>
              <w:t>1.57 ± 0.03</w:t>
            </w:r>
          </w:p>
        </w:tc>
        <w:tc>
          <w:tcPr>
            <w:tcW w:w="21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AEAD1BB" w14:textId="77777777" w:rsidR="00472A10" w:rsidRDefault="00000000">
            <w:pPr>
              <w:jc w:val="center"/>
            </w:pPr>
            <w:r>
              <w:rPr>
                <w:sz w:val="20"/>
                <w:szCs w:val="20"/>
              </w:rPr>
              <w:t>0.77 ± 0.03</w:t>
            </w:r>
          </w:p>
        </w:tc>
      </w:tr>
      <w:tr w:rsidR="00472A10" w14:paraId="079E730B"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88930F0" w14:textId="77777777" w:rsidR="00472A10" w:rsidRDefault="00000000">
            <w:r>
              <w:rPr>
                <w:sz w:val="20"/>
                <w:szCs w:val="20"/>
              </w:rPr>
              <w:t>OC-DFG cosine sim. ↑</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2273903" w14:textId="77777777" w:rsidR="00472A10" w:rsidRDefault="00000000">
            <w:pPr>
              <w:jc w:val="center"/>
            </w:pPr>
            <w:r>
              <w:rPr>
                <w:sz w:val="20"/>
                <w:szCs w:val="20"/>
              </w:rPr>
              <w:t>0.35 ± 0.01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25C2E90E" w14:textId="77777777" w:rsidR="00472A10" w:rsidRDefault="00000000">
            <w:pPr>
              <w:jc w:val="center"/>
            </w:pPr>
            <w:r>
              <w:rPr>
                <w:sz w:val="20"/>
                <w:szCs w:val="20"/>
              </w:rPr>
              <w:t>0.15 ± 0.00</w:t>
            </w:r>
          </w:p>
        </w:tc>
        <w:tc>
          <w:tcPr>
            <w:tcW w:w="21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1738412" w14:textId="77777777" w:rsidR="00472A10" w:rsidRDefault="00000000">
            <w:pPr>
              <w:jc w:val="center"/>
            </w:pPr>
            <w:r>
              <w:rPr>
                <w:sz w:val="20"/>
                <w:szCs w:val="20"/>
              </w:rPr>
              <w:t>0.78 ± 0.03</w:t>
            </w:r>
          </w:p>
        </w:tc>
      </w:tr>
      <w:tr w:rsidR="00472A10" w14:paraId="5D338575"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4B031EE" w14:textId="77777777" w:rsidR="00472A10" w:rsidRDefault="00000000">
            <w:r>
              <w:rPr>
                <w:sz w:val="20"/>
                <w:szCs w:val="20"/>
              </w:rPr>
              <w:t>O2O fidelity ↑</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678557F" w14:textId="77777777" w:rsidR="00472A10" w:rsidRDefault="00000000">
            <w:pPr>
              <w:jc w:val="center"/>
            </w:pPr>
            <w:r>
              <w:rPr>
                <w:sz w:val="20"/>
                <w:szCs w:val="20"/>
              </w:rPr>
              <w:t>0.15 ± 0.05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174C167" w14:textId="77777777" w:rsidR="00472A10" w:rsidRDefault="00000000">
            <w:pPr>
              <w:jc w:val="center"/>
            </w:pPr>
            <w:r>
              <w:rPr>
                <w:sz w:val="20"/>
                <w:szCs w:val="20"/>
              </w:rPr>
              <w:t>0.00 ± 0.00</w:t>
            </w:r>
          </w:p>
        </w:tc>
        <w:tc>
          <w:tcPr>
            <w:tcW w:w="21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572C6535" w14:textId="77777777" w:rsidR="00472A10" w:rsidRDefault="00000000">
            <w:pPr>
              <w:jc w:val="center"/>
            </w:pPr>
            <w:r>
              <w:rPr>
                <w:sz w:val="20"/>
                <w:szCs w:val="20"/>
              </w:rPr>
              <w:t>0.00 ± 0.00</w:t>
            </w:r>
          </w:p>
        </w:tc>
      </w:tr>
      <w:tr w:rsidR="00472A10" w14:paraId="3F690266"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1C93C63A" w14:textId="77777777" w:rsidR="00472A10" w:rsidRDefault="00000000">
            <w:r>
              <w:rPr>
                <w:sz w:val="20"/>
                <w:szCs w:val="20"/>
              </w:rPr>
              <w:t>Cardinality KS ↑</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C28680C" w14:textId="77777777" w:rsidR="00472A10" w:rsidRDefault="00000000">
            <w:pPr>
              <w:jc w:val="center"/>
            </w:pPr>
            <w:r>
              <w:rPr>
                <w:sz w:val="20"/>
                <w:szCs w:val="20"/>
              </w:rPr>
              <w:t>0.13 ± 0.05</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652C916A" w14:textId="77777777" w:rsidR="00472A10" w:rsidRDefault="00000000">
            <w:pPr>
              <w:jc w:val="center"/>
            </w:pPr>
            <w:r>
              <w:rPr>
                <w:sz w:val="20"/>
                <w:szCs w:val="20"/>
              </w:rPr>
              <w:t>0.00 ± 0.00</w:t>
            </w:r>
          </w:p>
        </w:tc>
        <w:tc>
          <w:tcPr>
            <w:tcW w:w="21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9D36F7D" w14:textId="77777777" w:rsidR="00472A10" w:rsidRDefault="00000000">
            <w:pPr>
              <w:jc w:val="center"/>
            </w:pPr>
            <w:r>
              <w:rPr>
                <w:sz w:val="20"/>
                <w:szCs w:val="20"/>
              </w:rPr>
              <w:t>0.00 ± 0.00</w:t>
            </w:r>
          </w:p>
        </w:tc>
      </w:tr>
      <w:tr w:rsidR="00472A10" w14:paraId="6AF60E8C" w14:textId="77777777">
        <w:tblPrEx>
          <w:tblCellMar>
            <w:top w:w="0" w:type="dxa"/>
            <w:bottom w:w="0" w:type="dxa"/>
          </w:tblCellMar>
        </w:tblPrEx>
        <w:tc>
          <w:tcPr>
            <w:tcW w:w="2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3A8DE3CA" w14:textId="77777777" w:rsidR="00472A10" w:rsidRDefault="00000000">
            <w:r>
              <w:rPr>
                <w:sz w:val="20"/>
                <w:szCs w:val="20"/>
              </w:rPr>
              <w:t>Conv./div. KS ↑</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06882F6" w14:textId="77777777" w:rsidR="00472A10" w:rsidRDefault="00000000">
            <w:pPr>
              <w:jc w:val="center"/>
            </w:pPr>
            <w:r>
              <w:rPr>
                <w:sz w:val="20"/>
                <w:szCs w:val="20"/>
              </w:rPr>
              <w:t>0.28 ± 0.01</w:t>
            </w:r>
          </w:p>
        </w:tc>
        <w:tc>
          <w:tcPr>
            <w:tcW w:w="1800"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74751B9D" w14:textId="77777777" w:rsidR="00472A10" w:rsidRDefault="00000000">
            <w:pPr>
              <w:jc w:val="center"/>
            </w:pPr>
            <w:r>
              <w:rPr>
                <w:sz w:val="20"/>
                <w:szCs w:val="20"/>
              </w:rPr>
              <w:t>0.00 ± 0.00</w:t>
            </w:r>
          </w:p>
        </w:tc>
        <w:tc>
          <w:tcPr>
            <w:tcW w:w="2166" w:type="dxa"/>
            <w:tcBorders>
              <w:top w:val="single" w:sz="1" w:space="0" w:color="000000"/>
              <w:left w:val="single" w:sz="1" w:space="0" w:color="000000"/>
              <w:bottom w:val="single" w:sz="1" w:space="0" w:color="000000"/>
              <w:right w:val="single" w:sz="1" w:space="0" w:color="000000"/>
            </w:tcBorders>
            <w:tcMar>
              <w:top w:w="40" w:type="dxa"/>
              <w:left w:w="80" w:type="dxa"/>
              <w:bottom w:w="40" w:type="dxa"/>
              <w:right w:w="80" w:type="dxa"/>
            </w:tcMar>
          </w:tcPr>
          <w:p w14:paraId="4BB146CD" w14:textId="77777777" w:rsidR="00472A10" w:rsidRDefault="00000000">
            <w:pPr>
              <w:jc w:val="center"/>
            </w:pPr>
            <w:r>
              <w:rPr>
                <w:sz w:val="20"/>
                <w:szCs w:val="20"/>
              </w:rPr>
              <w:t>0.00 ± 0.00</w:t>
            </w:r>
          </w:p>
        </w:tc>
      </w:tr>
    </w:tbl>
    <w:p w14:paraId="7C98F629" w14:textId="77777777" w:rsidR="00472A10" w:rsidRDefault="00472A10">
      <w:pPr>
        <w:spacing w:after="120"/>
      </w:pPr>
    </w:p>
    <w:p w14:paraId="132872EA" w14:textId="77777777" w:rsidR="00472A10" w:rsidRDefault="00000000">
      <w:pPr>
        <w:spacing w:after="120" w:line="276" w:lineRule="auto"/>
        <w:jc w:val="both"/>
      </w:pPr>
      <w:r>
        <w:t xml:space="preserve">All SimOC vs. baseline differences are significant at </w:t>
      </w:r>
      <w:r>
        <w:rPr>
          <w:i/>
          <w:iCs/>
        </w:rPr>
        <w:t>p</w:t>
      </w:r>
      <w:r>
        <w:t xml:space="preserve"> &lt; 0.05 (Wilcoxon signed-rank; actual </w:t>
      </w:r>
      <w:r>
        <w:rPr>
          <w:i/>
          <w:iCs/>
        </w:rPr>
        <w:t>p</w:t>
      </w:r>
      <w:r>
        <w:t xml:space="preserve"> ∈ [0.002, 0.004]), except sync delay which is vacuously equal across methods (no baseline models synchronization).</w:t>
      </w:r>
    </w:p>
    <w:p w14:paraId="11CD43C4" w14:textId="77777777" w:rsidR="00472A10" w:rsidRDefault="00000000">
      <w:pPr>
        <w:spacing w:after="120" w:line="276" w:lineRule="auto"/>
        <w:ind w:firstLine="360"/>
        <w:jc w:val="both"/>
      </w:pPr>
      <w:r>
        <w:t xml:space="preserve">Each baseline fails for a different reason, creating a clean ablation narrative. </w:t>
      </w:r>
      <w:r>
        <w:rPr>
          <w:i/>
          <w:iCs/>
        </w:rPr>
        <w:t>Flat</w:t>
      </w:r>
      <w:r>
        <w:t xml:space="preserve"> fails because flattening to a single case notion destroys O2O structure: O2O fidelity = 0.00, cardinality = 0.00, convergence/divergence = 0.00. It also produces the worst activity EMD (1.57 vs SimOC’s 0.57) because the convergence problem inflates event counts when multiple objects share events. </w:t>
      </w:r>
      <w:r>
        <w:rPr>
          <w:i/>
          <w:iCs/>
        </w:rPr>
        <w:t>Independent</w:t>
      </w:r>
      <w:r>
        <w:t xml:space="preserve"> fails because it has no cross-type coordination: per-type metrics are strong (OC-DFG 0.78) because it replays each type’s DFG faithfully, but O2O fidelity = 0.00. It produces individually accurate but structurally disconnected traces. </w:t>
      </w:r>
      <w:r>
        <w:rPr>
          <w:i/>
          <w:iCs/>
        </w:rPr>
        <w:t>SimOC</w:t>
      </w:r>
      <w:r>
        <w:t xml:space="preserve"> is the only method producing O2O relations, cardinality structure, and convergence/divergence &gt; 0.</w:t>
      </w:r>
    </w:p>
    <w:p w14:paraId="0AAD77FE" w14:textId="77777777" w:rsidR="00472A10" w:rsidRDefault="00000000">
      <w:pPr>
        <w:pStyle w:val="Heading2"/>
      </w:pPr>
      <w:r>
        <w:t>5.3 Results (SAP P2P)</w:t>
      </w:r>
    </w:p>
    <w:p w14:paraId="3BE1112F" w14:textId="77777777" w:rsidR="00472A10" w:rsidRDefault="00000000">
      <w:pPr>
        <w:spacing w:after="120" w:line="276" w:lineRule="auto"/>
        <w:jc w:val="both"/>
      </w:pPr>
      <w:r>
        <w:t>SimOC’s discovery pipeline generalizes to the P2P dataset: type classification identifies 4 root types and 4 derived types, behavioral discovery produces 44 duration models, and pattern discovery identifies 23 batching rules and 6 release rules. Simulation completes successfully. However, the P2P log is a legacy OCEL 1.0 conversion with no O2O relations, so O2O-specific metrics are vacuously satisfied by all methods. This underscores the paper’s thesis: object-centric simulation requires OCEL 2.0 with explicit O2O relations to exercise the full interaction pattern taxonomy.</w:t>
      </w:r>
    </w:p>
    <w:p w14:paraId="445CFD9C" w14:textId="77777777" w:rsidR="00472A10" w:rsidRDefault="00000000">
      <w:pPr>
        <w:pStyle w:val="Heading2"/>
      </w:pPr>
      <w:r>
        <w:t>5.4 Discussion</w:t>
      </w:r>
    </w:p>
    <w:p w14:paraId="3E7A12BA" w14:textId="77777777" w:rsidR="00472A10" w:rsidRDefault="00000000">
      <w:pPr>
        <w:spacing w:after="120" w:line="276" w:lineRule="auto"/>
        <w:jc w:val="both"/>
      </w:pPr>
      <w:r>
        <w:rPr>
          <w:b/>
          <w:bCs/>
        </w:rPr>
        <w:lastRenderedPageBreak/>
        <w:t xml:space="preserve">The OC-DFG tradeoff. </w:t>
      </w:r>
      <w:r>
        <w:t>Independent achieves higher per-type DFG fidelity (0.78) because it replays each type’s lifecycle in isolation without cross-type coordination. SimOC’s lower DFG similarity (0.35) reflects the introduction of synchronization delays, binding events, and batching dynamics that shift individual lifecycles. This is an inherent tradeoff: the structural distortion is the cost of producing realistic O2O relations that Independent cannot produce at all. Independent’s 0.75 is an illusion: it scores high on one metric by ignoring the object-centric dimension entirely.</w:t>
      </w:r>
    </w:p>
    <w:p w14:paraId="6C2D473A" w14:textId="77777777" w:rsidR="00472A10" w:rsidRDefault="00000000">
      <w:pPr>
        <w:spacing w:after="120" w:line="276" w:lineRule="auto"/>
        <w:ind w:firstLine="360"/>
        <w:jc w:val="both"/>
      </w:pPr>
      <w:r>
        <w:t>Order cycle times in SimOC include realistic synchronization delays (waiting for the slowest item to be picked before packing can begin) that Independent omits entirely. These delays are visible in the real log’s timing patterns but absent from Independent’s output, despite its higher DFG score. The tradeoff between per-type fidelity and cross-type structural realism represents a fundamental design choice in object-centric simulation, not a limitation of the approach.</w:t>
      </w:r>
    </w:p>
    <w:p w14:paraId="20127E39" w14:textId="77777777" w:rsidR="00472A10" w:rsidRDefault="00000000">
      <w:pPr>
        <w:spacing w:after="120" w:line="276" w:lineRule="auto"/>
        <w:ind w:firstLine="360"/>
        <w:jc w:val="both"/>
      </w:pPr>
      <w:r>
        <w:rPr>
          <w:b/>
          <w:bCs/>
        </w:rPr>
        <w:t xml:space="preserve">Duration KS. </w:t>
      </w:r>
      <w:r>
        <w:t>Only 11% of (type, activity) duration distributions pass the KS test. SimOC’s agent interactions introduce coordination overhead (synchronization waits, binding queues, batching delays) that shift per-activity sojourn time distributions compared to the isolated per-type replay. This is a known limitation of measuring simulation fidelity at the per-activity level rather than the end-to-end process level.</w:t>
      </w:r>
    </w:p>
    <w:p w14:paraId="008117D1" w14:textId="77777777" w:rsidR="00472A10" w:rsidRDefault="00000000">
      <w:pPr>
        <w:spacing w:after="120" w:line="276" w:lineRule="auto"/>
        <w:ind w:firstLine="360"/>
        <w:jc w:val="both"/>
      </w:pPr>
      <w:r>
        <w:rPr>
          <w:b/>
          <w:bCs/>
        </w:rPr>
        <w:t xml:space="preserve">Binding policy. </w:t>
      </w:r>
      <w:r>
        <w:t>The current implementation uses a parent-affinity heuristic for binding selection: items sharing a parent order are preferred when creating packages. Feature-based logistic regression binding policies, using order affinity, temporal proximity, and item attributes as features, are identified as future work.</w:t>
      </w:r>
    </w:p>
    <w:p w14:paraId="737B6EDC" w14:textId="77777777" w:rsidR="00472A10" w:rsidRDefault="00000000">
      <w:pPr>
        <w:pStyle w:val="Heading1"/>
      </w:pPr>
      <w:r>
        <w:t>6. Conclusion</w:t>
      </w:r>
    </w:p>
    <w:p w14:paraId="6158E821" w14:textId="77777777" w:rsidR="00472A10" w:rsidRDefault="00000000">
      <w:pPr>
        <w:spacing w:after="120" w:line="276" w:lineRule="auto"/>
        <w:jc w:val="both"/>
      </w:pPr>
      <w:r>
        <w:t>SimOC demonstrates that agent-based simulation of object-centric processes discovered from OCEL 2.0 logs is feasible and produces structural fidelity properties that no existing approach can achieve. The five interaction patterns (spawning, synchronization, binding, batching, and release) provide a formal vocabulary for describing how objects interact in processes, filling a gap explicitly identified by van der Aalst [3].</w:t>
      </w:r>
    </w:p>
    <w:p w14:paraId="2ACE2942" w14:textId="77777777" w:rsidR="00472A10" w:rsidRDefault="00000000">
      <w:pPr>
        <w:spacing w:after="120" w:line="276" w:lineRule="auto"/>
        <w:ind w:firstLine="360"/>
        <w:jc w:val="both"/>
      </w:pPr>
      <w:r>
        <w:t>The evaluation shows SimOC is the only method producing O2O relational structure (fidelity 0.15 vs. 0.00 for baselines) and convergence/divergence patterns (0.28 vs. 0.00), while maintaining competitive activity-level fidelity. The tradeoff between cross-type coordination and per-type DFG accuracy is inherent to interaction-aware simulation and represents a fundamental design choice.</w:t>
      </w:r>
    </w:p>
    <w:p w14:paraId="421198B3" w14:textId="77777777" w:rsidR="00472A10" w:rsidRDefault="00000000">
      <w:pPr>
        <w:spacing w:after="120" w:line="276" w:lineRule="auto"/>
        <w:ind w:firstLine="360"/>
        <w:jc w:val="both"/>
      </w:pPr>
      <w:r>
        <w:rPr>
          <w:b/>
          <w:bCs/>
        </w:rPr>
        <w:t xml:space="preserve">Limitations. </w:t>
      </w:r>
      <w:r>
        <w:t>The binding policy is a parent-affinity heuristic, not a trained ML model. OC-DFG similarity is lower than Independent due to cross-type coordination effects. Evaluation uses two datasets; additional datasets with richer binding patterns would strengthen claims. The system assumes stationary processes without concept drift.</w:t>
      </w:r>
    </w:p>
    <w:p w14:paraId="381BEF0F" w14:textId="77777777" w:rsidR="00472A10" w:rsidRDefault="00000000">
      <w:pPr>
        <w:spacing w:after="120" w:line="276" w:lineRule="auto"/>
        <w:ind w:firstLine="360"/>
        <w:jc w:val="both"/>
      </w:pPr>
      <w:r>
        <w:rPr>
          <w:b/>
          <w:bCs/>
        </w:rPr>
        <w:t xml:space="preserve">Future work. </w:t>
      </w:r>
      <w:r>
        <w:t>(1) Logistic regression binding policies trained on positive/negative examples from binding event state reconstruction. (2) Combining SimOC’s object-type agents with AgentSimulator’s resource agents, modeling both multi-object process structure and workforce behavior simultaneously. (3) LLM-augmented agents for complex binding decisions that resist statistical modeling. (4) Industrial validation on real operational data for what-if scenario analysis. (5) Streaming simulation model discovery from online OCEL data.</w:t>
      </w:r>
    </w:p>
    <w:p w14:paraId="22AED8BC" w14:textId="77777777" w:rsidR="00472A10" w:rsidRDefault="00000000">
      <w:pPr>
        <w:spacing w:after="120" w:line="276" w:lineRule="auto"/>
        <w:ind w:firstLine="360"/>
        <w:jc w:val="both"/>
      </w:pPr>
      <w:r>
        <w:rPr>
          <w:b/>
          <w:bCs/>
        </w:rPr>
        <w:lastRenderedPageBreak/>
        <w:t xml:space="preserve">Reproducibility. </w:t>
      </w:r>
      <w:r>
        <w:t>The complete SimOC implementation (7 stages, 155 tests, CLI entry point, demo notebook) and all benchmark data are available at [repository URL redacted for review].</w:t>
      </w:r>
    </w:p>
    <w:p w14:paraId="28BD664F" w14:textId="77777777" w:rsidR="00472A10" w:rsidRDefault="00000000">
      <w:pPr>
        <w:pStyle w:val="Heading1"/>
      </w:pPr>
      <w:r>
        <w:t>References</w:t>
      </w:r>
    </w:p>
    <w:p w14:paraId="050ABF84" w14:textId="77777777" w:rsidR="00472A10" w:rsidRDefault="00472A10">
      <w:pPr>
        <w:spacing w:after="120"/>
      </w:pPr>
    </w:p>
    <w:p w14:paraId="0861E421" w14:textId="77777777" w:rsidR="00472A10" w:rsidRDefault="00000000">
      <w:pPr>
        <w:spacing w:after="120" w:line="276" w:lineRule="auto"/>
        <w:jc w:val="both"/>
      </w:pPr>
      <w:r>
        <w:rPr>
          <w:sz w:val="20"/>
          <w:szCs w:val="20"/>
        </w:rPr>
        <w:t>[1] D. Chapela-Campa, M. Dumas, O. López-Pintado, and I. Suvorau, “Simod: Automated Discovery of Business Process Simulation Models,” SoftwareX, vol. 30, 2025.</w:t>
      </w:r>
    </w:p>
    <w:p w14:paraId="2E7969CE" w14:textId="77777777" w:rsidR="00472A10" w:rsidRDefault="00000000">
      <w:pPr>
        <w:spacing w:after="120" w:line="276" w:lineRule="auto"/>
        <w:jc w:val="both"/>
      </w:pPr>
      <w:r>
        <w:rPr>
          <w:sz w:val="20"/>
          <w:szCs w:val="20"/>
        </w:rPr>
        <w:t>[2] A. Berti, I. Koren, J.N. Adams, G. Park, B. Knopp, N. Graves, M. Rafiei, L. Liß, L. Tacke genannt Unterberg, Y. Zhang, C. Schwanen, M. Pegoraro, and W.M.P. van der Aalst, “OCEL (Object-Centric Event Log) 2.0 Specification,” arXiv preprint arXiv:2403.01975, 2024.</w:t>
      </w:r>
    </w:p>
    <w:p w14:paraId="02DCD6EF" w14:textId="77777777" w:rsidR="00472A10" w:rsidRDefault="00000000">
      <w:pPr>
        <w:spacing w:after="120" w:line="276" w:lineRule="auto"/>
        <w:jc w:val="both"/>
      </w:pPr>
      <w:r>
        <w:rPr>
          <w:sz w:val="20"/>
          <w:szCs w:val="20"/>
        </w:rPr>
        <w:t>[3] W.M.P. van der Aalst, “Toward More Realistic Simulation Models Using Object-Centric Process Mining,” in Proc. 37th European Conference on Modelling and Simulation (ECMS), Florence, Italy, 2023.</w:t>
      </w:r>
    </w:p>
    <w:p w14:paraId="6D2E5328" w14:textId="77777777" w:rsidR="00472A10" w:rsidRDefault="00000000">
      <w:pPr>
        <w:spacing w:after="120" w:line="276" w:lineRule="auto"/>
        <w:jc w:val="both"/>
      </w:pPr>
      <w:r>
        <w:rPr>
          <w:sz w:val="20"/>
          <w:szCs w:val="20"/>
        </w:rPr>
        <w:t>[4] B. Knopp, M. Pourbafrani, and W.M.P. van der Aalst, “Discovering Object-Centric Process Simulation Models,” in Proc. 5th International Conference on Process Mining (ICPM), Rome, Italy, 2023.</w:t>
      </w:r>
    </w:p>
    <w:p w14:paraId="2539188D" w14:textId="77777777" w:rsidR="00472A10" w:rsidRDefault="00000000">
      <w:pPr>
        <w:spacing w:after="120" w:line="276" w:lineRule="auto"/>
        <w:jc w:val="both"/>
      </w:pPr>
      <w:r>
        <w:rPr>
          <w:sz w:val="20"/>
          <w:szCs w:val="20"/>
        </w:rPr>
        <w:t>[5] L. Kirchdorfer, R. Blümel, T. Kampik, H. van der Aa, and H. Stuckenschmidt, “AgentSimulator: An Agent-based Approach for Data-driven Business Process Simulation,” in Proc. 6th International Conference on Process Mining (ICPM), Kgs. Lyngby, Denmark, 2024. Best Paper Award.</w:t>
      </w:r>
    </w:p>
    <w:p w14:paraId="1A6F9CBC" w14:textId="77777777" w:rsidR="00472A10" w:rsidRDefault="00000000">
      <w:pPr>
        <w:spacing w:after="120" w:line="276" w:lineRule="auto"/>
        <w:jc w:val="both"/>
      </w:pPr>
      <w:r>
        <w:rPr>
          <w:sz w:val="20"/>
          <w:szCs w:val="20"/>
        </w:rPr>
        <w:t>[6] O. López-Pintado, S. Murashko, and M. Dumas, “Discovery and Simulation of Data-Aware Business Processes,” in Proc. 6th International Conference on Process Mining (ICPM), Kgs. Lyngby, Denmark, 2024.</w:t>
      </w:r>
    </w:p>
    <w:p w14:paraId="46DCA506" w14:textId="77777777" w:rsidR="00472A10" w:rsidRDefault="00000000">
      <w:pPr>
        <w:spacing w:after="120" w:line="276" w:lineRule="auto"/>
        <w:jc w:val="both"/>
      </w:pPr>
      <w:r>
        <w:rPr>
          <w:sz w:val="20"/>
          <w:szCs w:val="20"/>
        </w:rPr>
        <w:t>[7] W.M.P. van der Aalst, “Object-Centric Process Mining: Unraveling the Fabric of Real Processes,” Mathematics, vol. 11, no. 12, 2023.</w:t>
      </w:r>
    </w:p>
    <w:p w14:paraId="19B3B105" w14:textId="77777777" w:rsidR="00472A10" w:rsidRDefault="00000000">
      <w:pPr>
        <w:spacing w:after="120" w:line="276" w:lineRule="auto"/>
        <w:jc w:val="both"/>
      </w:pPr>
      <w:r>
        <w:rPr>
          <w:sz w:val="20"/>
          <w:szCs w:val="20"/>
        </w:rPr>
        <w:t>[8] B. Knopp and W.M.P. van der Aalst, “Order Management Object-Centric Event Log in OCEL 2.0 Standard,” Zenodo, 2023. https://zenodo.org/records/8428112.</w:t>
      </w:r>
    </w:p>
    <w:p w14:paraId="1D9ADE7E" w14:textId="77777777" w:rsidR="00472A10" w:rsidRDefault="00000000">
      <w:pPr>
        <w:spacing w:after="120" w:line="276" w:lineRule="auto"/>
        <w:jc w:val="both"/>
      </w:pPr>
      <w:r>
        <w:rPr>
          <w:sz w:val="20"/>
          <w:szCs w:val="20"/>
        </w:rPr>
        <w:t>[9] OCEL Standard, “Legacy OCEL Event Logs,” ocel-standard.org/event-logs/simulations/legacy-logs/, 2023.</w:t>
      </w:r>
    </w:p>
    <w:sectPr w:rsidR="00472A10">
      <w:footerReference w:type="default" r:id="rId8"/>
      <w:pgSz w:w="11906" w:h="16838"/>
      <w:pgMar w:top="1440" w:right="1170" w:bottom="1440" w:left="117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00158" w14:textId="77777777" w:rsidR="0053294E" w:rsidRDefault="0053294E">
      <w:r>
        <w:separator/>
      </w:r>
    </w:p>
  </w:endnote>
  <w:endnote w:type="continuationSeparator" w:id="0">
    <w:p w14:paraId="515333AC" w14:textId="77777777" w:rsidR="0053294E" w:rsidRDefault="005329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1BBB2" w14:textId="77777777" w:rsidR="00472A10" w:rsidRDefault="00000000">
    <w:pPr>
      <w:jc w:val="center"/>
    </w:pPr>
    <w:r>
      <w:rPr>
        <w:sz w:val="20"/>
        <w:szCs w:val="20"/>
      </w:rPr>
      <w:fldChar w:fldCharType="begin"/>
    </w:r>
    <w:r>
      <w:rPr>
        <w:sz w:val="20"/>
        <w:szCs w:val="20"/>
      </w:rPr>
      <w:instrText>PAGE</w:instrText>
    </w:r>
    <w:r>
      <w:rPr>
        <w:sz w:val="20"/>
        <w:szCs w:val="20"/>
      </w:rPr>
      <w:fldChar w:fldCharType="separate"/>
    </w:r>
    <w:r w:rsidR="002E6D2F">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37602" w14:textId="77777777" w:rsidR="0053294E" w:rsidRDefault="0053294E">
      <w:r>
        <w:separator/>
      </w:r>
    </w:p>
  </w:footnote>
  <w:footnote w:type="continuationSeparator" w:id="0">
    <w:p w14:paraId="3F37D1BC" w14:textId="77777777" w:rsidR="0053294E" w:rsidRDefault="005329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EF4A30"/>
    <w:multiLevelType w:val="hybridMultilevel"/>
    <w:tmpl w:val="8594E590"/>
    <w:lvl w:ilvl="0" w:tplc="633EB2F2">
      <w:start w:val="1"/>
      <w:numFmt w:val="bullet"/>
      <w:lvlText w:val="●"/>
      <w:lvlJc w:val="left"/>
      <w:pPr>
        <w:ind w:left="720" w:hanging="360"/>
      </w:pPr>
    </w:lvl>
    <w:lvl w:ilvl="1" w:tplc="9AFE6E60">
      <w:start w:val="1"/>
      <w:numFmt w:val="bullet"/>
      <w:lvlText w:val="○"/>
      <w:lvlJc w:val="left"/>
      <w:pPr>
        <w:ind w:left="1440" w:hanging="360"/>
      </w:pPr>
    </w:lvl>
    <w:lvl w:ilvl="2" w:tplc="E29E7C34">
      <w:start w:val="1"/>
      <w:numFmt w:val="bullet"/>
      <w:lvlText w:val="■"/>
      <w:lvlJc w:val="left"/>
      <w:pPr>
        <w:ind w:left="2160" w:hanging="360"/>
      </w:pPr>
    </w:lvl>
    <w:lvl w:ilvl="3" w:tplc="50A2BEC6">
      <w:start w:val="1"/>
      <w:numFmt w:val="bullet"/>
      <w:lvlText w:val="●"/>
      <w:lvlJc w:val="left"/>
      <w:pPr>
        <w:ind w:left="2880" w:hanging="360"/>
      </w:pPr>
    </w:lvl>
    <w:lvl w:ilvl="4" w:tplc="3A788D6E">
      <w:start w:val="1"/>
      <w:numFmt w:val="bullet"/>
      <w:lvlText w:val="○"/>
      <w:lvlJc w:val="left"/>
      <w:pPr>
        <w:ind w:left="3600" w:hanging="360"/>
      </w:pPr>
    </w:lvl>
    <w:lvl w:ilvl="5" w:tplc="4B127EA8">
      <w:start w:val="1"/>
      <w:numFmt w:val="bullet"/>
      <w:lvlText w:val="■"/>
      <w:lvlJc w:val="left"/>
      <w:pPr>
        <w:ind w:left="4320" w:hanging="360"/>
      </w:pPr>
    </w:lvl>
    <w:lvl w:ilvl="6" w:tplc="5AEA3146">
      <w:start w:val="1"/>
      <w:numFmt w:val="bullet"/>
      <w:lvlText w:val="●"/>
      <w:lvlJc w:val="left"/>
      <w:pPr>
        <w:ind w:left="5040" w:hanging="360"/>
      </w:pPr>
    </w:lvl>
    <w:lvl w:ilvl="7" w:tplc="BE74F792">
      <w:start w:val="1"/>
      <w:numFmt w:val="bullet"/>
      <w:lvlText w:val="●"/>
      <w:lvlJc w:val="left"/>
      <w:pPr>
        <w:ind w:left="5760" w:hanging="360"/>
      </w:pPr>
    </w:lvl>
    <w:lvl w:ilvl="8" w:tplc="4DFE72DE">
      <w:start w:val="1"/>
      <w:numFmt w:val="bullet"/>
      <w:lvlText w:val="●"/>
      <w:lvlJc w:val="left"/>
      <w:pPr>
        <w:ind w:left="6480" w:hanging="360"/>
      </w:pPr>
    </w:lvl>
  </w:abstractNum>
  <w:num w:numId="1" w16cid:durableId="180985652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2A10"/>
    <w:rsid w:val="002E6D2F"/>
    <w:rsid w:val="00472A10"/>
    <w:rsid w:val="0053294E"/>
    <w:rsid w:val="00AB19CB"/>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7C7A6"/>
  <w15:docId w15:val="{10F7E385-AA05-495D-852A-92F182C7E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DE" w:eastAsia="en-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28"/>
      <w:szCs w:val="28"/>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i/>
      <w:i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3544</Words>
  <Characters>20204</Characters>
  <Application>Microsoft Office Word</Application>
  <DocSecurity>0</DocSecurity>
  <Lines>168</Lines>
  <Paragraphs>47</Paragraphs>
  <ScaleCrop>false</ScaleCrop>
  <Company/>
  <LinksUpToDate>false</LinksUpToDate>
  <CharactersWithSpaces>23701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aziz Ketata</cp:lastModifiedBy>
  <cp:revision>2</cp:revision>
  <dcterms:created xsi:type="dcterms:W3CDTF">2026-04-10T22:15:00Z</dcterms:created>
  <dcterms:modified xsi:type="dcterms:W3CDTF">2026-04-12T15:32:00Z</dcterms:modified>
</cp:coreProperties>
</file>