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rPr>
          <w:rFonts w:ascii="Times New Roman" w:cs="Times New Roman" w:eastAsia="Times New Roman" w:hAnsi="Times New Roman"/>
          <w:b/>
          <w:bCs/>
          <w:sz w:val="24"/>
          <w:szCs w:val="24"/>
        </w:rPr>
        <w:t xml:space="preserve">IV. HASIL DAN PEMBAHASAN</w:t>
      </w:r>
    </w:p>
    <w:p>
      <w:pPr>
        <w:spacing w:after="140" w:before="280"/>
      </w:pPr>
      <w:r>
        <w:rPr>
          <w:rFonts w:ascii="Times New Roman" w:cs="Times New Roman" w:eastAsia="Times New Roman" w:hAnsi="Times New Roman"/>
          <w:b/>
          <w:bCs/>
          <w:i/>
          <w:iCs/>
          <w:sz w:val="22"/>
          <w:szCs w:val="22"/>
        </w:rPr>
        <w:t xml:space="preserve">A. Protokol Eksperimen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Seluruh hasil pada bagian ini diperoleh dari sepuluh seed acak (42 sampai 51) dengan protokol yang identik pada kedua dataset: lima belas epoch tetap, d_model 64, empat attention head, dan dua lapis encoder. Tidak ada seleksi model yang dilakukan di atas data uji. Setiap model dilatih sejumlah epoch tetap dan dievaluasi satu kali pada akhir pelatihan, sehingga bobot yang dilaporkan bukan bobot terbaik yang dipilih berdasarkan performa uji. Pemilihan epoch terbaik berdasarkan metrik uji merupakan bentuk kebocoran data uji yang membuat seluruh angka bias optimistis, dan karena itu sengaja dihindari.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NSL-KDD digunakan dalam bentuk aslinya: lima kelas, 125.973 baris data latih, dan 42 token masukan yang terdiri atas 41 fitur beserta satu token [CLS]. CICIDS2017 memuat 2.520.798 baris setelah pembersihan nilai takhingga dan duplikat. Agar waktu komputasi tetap wajar tanpa menghilangkan kelas langka, setiap kelas dibatasi maksimum 50.000 baris sedangkan kelas yang jumlahnya di bawah batas dibiarkan utuh. Hasilnya adalah 213.288 baris, sembilan kelas, 159.966 baris data latih, dan 79 token masukan. Pembatasan ini menurunkan rasio ketidakseimbangan dari sekitar 190.000:1 menjadi 4.545:1; angka tersebut tetap jauh lebih ekstrem daripada NSL-KDD, namun perubahannya dinyatakan di sini secara terbuka karena memengaruhi interpretasi hasil.</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Dua kelas minoritas yang menjadi fokus evaluasi dipilih secara otomatis sebagai dua kelas terlangka yang memiliki sekurang-kurangnya 50 sampel uji. Pada NSL-KDD terpilih U2R dan R2L. Pada CICIDS2017 terpilih Bot dan WebAttack, sedangkan Heartbleed dan Infiltration dikecualikan dari metrik utama karena masing-masing hanya menyisakan tiga dan sembilan sampel uji setelah pemisahan data. F1 yang dihitung atas tiga sampel bersifat terkuantisasi dan berayun liar antar seed, sehingga uji statistik atasnya akan mengukur derau alih-alih perbedaan metode. Kedua kelas tersebut tetap dibahas secara kualitatif pada Bagian G.</w:t>
      </w:r>
    </w:p>
    <w:p>
      <w:pPr>
        <w:spacing w:after="140" w:before="280"/>
      </w:pPr>
      <w:r>
        <w:rPr>
          <w:rFonts w:ascii="Times New Roman" w:cs="Times New Roman" w:eastAsia="Times New Roman" w:hAnsi="Times New Roman"/>
          <w:b/>
          <w:bCs/>
          <w:i/>
          <w:iCs/>
          <w:sz w:val="22"/>
          <w:szCs w:val="22"/>
        </w:rPr>
        <w:t xml:space="preserve">B. Perbandingan Antar Tataran pada Dua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Tabel 1 dan Tabel 2 menyajikan studi ablasi 2×2 yang memisahkan pengaruh tataran loss dari tataran arsitektur. Empat konfigurasi dibandingkan: Baseline (mean-pooling dengan cross-entropy), Attn-only (class-specific attention pooling dengan cross-entropy), Focal-only (mean-pooling dengan adaptive focal loss), dan Full (gabungan keduanya).</w:t>
      </w:r>
    </w:p>
    <w:p>
      <w:pPr>
        <w:spacing w:after="100" w:before="200"/>
        <w:jc w:val="center"/>
      </w:pPr>
      <w:r>
        <w:rPr>
          <w:rFonts w:ascii="Times New Roman" w:cs="Times New Roman" w:eastAsia="Times New Roman" w:hAnsi="Times New Roman"/>
          <w:sz w:val="18"/>
          <w:szCs w:val="18"/>
        </w:rPr>
        <w:t xml:space="preserve">Tabel 1. Studi ablasi pada NSL-KDD (rerata ± simpangan baku,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Konfigurasi</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(U2R)</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(R2L)</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0,6068 ± 0,0215</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0,6239 ± 0,0298</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0,1508 ± 0,0542</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0,4075 ± 0,0541</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(Attn+Focal)</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0,6027 ± 0,0113</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0,6358 ± 0,0251</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0,1471 ± 0,0260</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0,4083 ± 0,0575</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0,5500 ± 0,0213</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0,1554 ± 0,1466</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0,0390 ± 0,0612</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0,2654 ± 0,0819</w:t>
            </w:r>
          </w:p>
        </w:tc>
      </w:tr>
      <w:tr>
        <w:trPr>
          <w:tblHeader w:val="false"/>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0,5426 ± 0,0145</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0,1669 ± 0,1315</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0,0302 ± 0,0407</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0,2502 ± 0,0564</w:t>
            </w:r>
          </w:p>
        </w:tc>
      </w:tr>
    </w:tbl>
    <w:p>
      <w:pPr>
        <w:spacing w:after="200" w:before="80"/>
        <w:jc w:val="both"/>
      </w:pPr>
      <w:r>
        <w:rPr>
          <w:rFonts w:ascii="Times New Roman" w:cs="Times New Roman" w:eastAsia="Times New Roman" w:hAnsi="Times New Roman"/>
          <w:i/>
          <w:iCs/>
          <w:sz w:val="18"/>
          <w:szCs w:val="18"/>
        </w:rPr>
        <w:t xml:space="preserve">Diurutkan menurut macro-F1.</w:t>
      </w:r>
    </w:p>
    <w:p>
      <w:pPr>
        <w:spacing w:after="100" w:before="200"/>
        <w:jc w:val="center"/>
      </w:pPr>
      <w:r>
        <w:rPr>
          <w:rFonts w:ascii="Times New Roman" w:cs="Times New Roman" w:eastAsia="Times New Roman" w:hAnsi="Times New Roman"/>
          <w:sz w:val="18"/>
          <w:szCs w:val="18"/>
        </w:rPr>
        <w:t xml:space="preserve">Tabel 2. Studi ablasi pada CICIDS2017 (rerata ± simpangan baku,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Konfigurasi</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(Bot)</w:t>
            </w:r>
          </w:p>
        </w:tc>
        <w:tc>
          <w:tcPr>
            <w:tcW w:type="dxa" w:w="17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(WebAttack)</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0,9060 ± 0,0190</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0,8783 ± 0,0276</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0,8590 ± 0,0241</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0,9344 ± 0,0024</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0,8071 ± 0,0825</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0,3856 ± 0,3610</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0,8053 ± 0,0482</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0,8564 ± 0,2368</w:t>
            </w:r>
          </w:p>
        </w:tc>
      </w:tr>
      <w:tr>
        <w:trPr>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(Attn+Focal)</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0,7647 ± 0,0194</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0,9471 ± 0,0061</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0,6304 ± 0,0283</w:t>
            </w:r>
          </w:p>
        </w:tc>
        <w:tc>
          <w:tcPr>
            <w:tcW w:type="dxa" w:w="17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0,7534 ± 0,0645</w:t>
            </w:r>
          </w:p>
        </w:tc>
      </w:tr>
      <w:tr>
        <w:trPr>
          <w:tblHeader w:val="false"/>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0,7391 ± 0,0231</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0,9446 ± 0,0117</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0,6201 ± 0,0359</w:t>
            </w:r>
          </w:p>
        </w:tc>
        <w:tc>
          <w:tcPr>
            <w:tcW w:type="dxa" w:w="17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0,7611 ± 0,0450</w:t>
            </w:r>
          </w:p>
        </w:tc>
      </w:tr>
    </w:tbl>
    <w:p>
      <w:pPr>
        <w:spacing w:after="200" w:before="80"/>
        <w:jc w:val="both"/>
      </w:pPr>
      <w:r>
        <w:rPr>
          <w:rFonts w:ascii="Times New Roman" w:cs="Times New Roman" w:eastAsia="Times New Roman" w:hAnsi="Times New Roman"/>
          <w:i/>
          <w:iCs/>
          <w:sz w:val="18"/>
          <w:szCs w:val="18"/>
        </w:rPr>
        <w:t xml:space="preserve">Diurutkan menurut macro-F1.</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tabel memperlihatkan urutan peringkat yang hampir berkebalikan. Pada NSL-KDD, dua konfigurasi teratas adalah yang memuat focal loss, sedangkan Attn-only justru menempati posisi terbawah, di bawah baseline. Pada CICIDS2017, Attn-only menempati posisi teratas pada macro-F1 dengan selisih hampir 0,1 di atas baseline, sementara kedua konfigurasi ber-focal loss justru berada di posisi terbawah.</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Namun pembalikan tersebut tidak berlaku pada semua metrik. Pada G-mean, arah pengaruh focal loss tetap konsisten di kedua dataset dan besarnya mencolok: dari 0,1554 menjadi 0,6239 pada NSL-KDD, dan dari 0,3856 menjadi 0,9446 pada CICIDS2017. Dengan kata lain, focal loss secara konsisten memperbaiki keseimbangan deteksi lintas kelas, tetapi pada CICIDS2017 perbaikan tersebut dibayar dengan penurunan macro-F1 dan F1 kelas minoritas. Perbedaan arah antara G-mean dan macro-F1 ini menjadi salah satu temuan utama artikel dan dibahas lebih lanjut pada Bagian F.</w:t>
      </w:r>
    </w:p>
    <w:p>
      <w:pPr>
        <w:spacing w:after="140" w:before="280"/>
      </w:pPr>
      <w:r>
        <w:rPr>
          <w:rFonts w:ascii="Times New Roman" w:cs="Times New Roman" w:eastAsia="Times New Roman" w:hAnsi="Times New Roman"/>
          <w:b/>
          <w:bCs/>
          <w:i/>
          <w:iCs/>
          <w:sz w:val="22"/>
          <w:szCs w:val="22"/>
        </w:rPr>
        <w:t xml:space="preserve">C. Uji Signifikansi dengan Koreksi Multiple Comparison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Tiga perbandingan berpasangan diuji pada empat metrik, sehingga terdapat dua belas uji per dataset. Tanpa koreksi, peluang memperoleh sekurang-kurangnya satu hasil signifikan palsu pada dua belas uji independen mencapai sekitar 46 persen. Karena itu koreksi Holm-Bonferroni diterapkan sejak awal dan nilai p terkoreksi inilah yang dilaporkan. Holm-Bonferroni dipilih dibandingkan Bonferroni biasa karena menolak lebih banyak hipotesis null yang benar-benar salah sambil tetap mengendalikan family-wise error rate pada taraf yang sama. Uji yang digunakan adalah Wilcoxon signed-rank berpasangan per seed; pada n = 10, nilai p terkecil yang dapat dicapai adalah 0,002, sehingga masih tersedia ruang bagi hasil untuk bertahan setelah koreksi.</w:t>
      </w:r>
    </w:p>
    <w:p>
      <w:pPr>
        <w:spacing w:after="100" w:before="200"/>
        <w:jc w:val="center"/>
      </w:pPr>
      <w:r>
        <w:rPr>
          <w:rFonts w:ascii="Times New Roman" w:cs="Times New Roman" w:eastAsia="Times New Roman" w:hAnsi="Times New Roman"/>
          <w:sz w:val="18"/>
          <w:szCs w:val="18"/>
        </w:rPr>
        <w:t xml:space="preserve">Tabel 3. Uji Wilcoxon signed-rank berpasangan dengan koreksi Holm-Bonferroni (n =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500"/>
        <w:gridCol w:w="1300"/>
        <w:gridCol w:w="1300"/>
        <w:gridCol w:w="1300"/>
        <w:gridCol w:w="1400"/>
      </w:tblGrid>
      <w:tr>
        <w:trPr>
          <w:tblHeader/>
        </w:trPr>
        <w:tc>
          <w:tcPr>
            <w:tcW w:type="dxa" w:w="2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Perbandingan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Metrik</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Δ</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 mentah</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 Holm</w:t>
            </w:r>
          </w:p>
        </w:tc>
        <w:tc>
          <w:tcPr>
            <w:tcW w:type="dxa" w:w="1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Signifikan</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NSL-KDD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Macro-F1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+0,0568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G-mean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+0,4685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(U2R)</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+0,1118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0,0039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0,0391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(R2L)</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0,0059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0,0527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keempat metrik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−0,0152 … +0,0115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0,56 … 1,00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vs Focal-only</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keempat metrik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−0,0041 … +0,0119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0,28 … 0,92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CICIDS2017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Macro-F1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+0,0988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G-mean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+0,4928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(Bot)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+0,0537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0,0137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0,1094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Attn-only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(WebAttack)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+0,0780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0,9219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Macro-F1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−0,0680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0,0488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0,3418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G-mean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+0,5591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(Bot)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−0,1852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0,0234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ya</w:t>
            </w:r>
          </w:p>
        </w:tc>
      </w:tr>
      <w:tr>
        <w:trPr>
          <w:tblHeader w:val="false"/>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Focal-only vs Baseline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F1 (WebAttack)</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−0,0952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0,0840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0,4199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r>
        <w:trPr>
          <w:tblHeader w:val="false"/>
        </w:trPr>
        <w:tc>
          <w:tcPr>
            <w:tcW w:type="dxa" w:w="2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Full vs Focal-only</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keempat metrik</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−0,0077 … +0,0256</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0,05 … 0,85</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0,3418 … 1,0000</w:t>
            </w:r>
          </w:p>
        </w:tc>
        <w:tc>
          <w:tcPr>
            <w:tcW w:type="dxa" w:w="1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tidak</w:t>
            </w:r>
          </w:p>
        </w:tc>
      </w:tr>
    </w:tbl>
    <w:p>
      <w:pPr>
        <w:spacing w:after="200" w:before="80"/>
        <w:jc w:val="both"/>
      </w:pPr>
      <w:r>
        <w:rPr>
          <w:rFonts w:ascii="Times New Roman" w:cs="Times New Roman" w:eastAsia="Times New Roman" w:hAnsi="Times New Roman"/>
          <w:i/>
          <w:iCs/>
          <w:sz w:val="18"/>
          <w:szCs w:val="18"/>
        </w:rPr>
        <w:t xml:space="preserve">Δ adalah selisih rerata; nilai negatif berarti konfigurasi pertama lebih buruk. Baris yang diringkas memiliki kesimpulan seragam pada keempat metrik. NSL-KDD: 4 dari 12 uji signifikan sebelum koreksi, 3 bertahan sesudahnya. CICIDS2017: 7 dari 12 sebelum koreksi, 4 bertahan sesudahnya.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Tabel 3 menghasilkan empat kesimpulan. Pertama, penanganan pada tataran loss memperbaiki G-mean secara signifikan pada kedua dataset, dengan Δ sebesar +0,4685 dan +0,5591. Ini merupakan efek terbesar pada seluruh eksperimen dan merupakan satu-satunya temuan yang arah maupun signifikansinya konsisten lintas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penanganan pada tataran arsitektur memberikan hasil yang sepenuhnya bergantung pada dataset. Pada NSL-KDD, Attn-only tidak berbeda dari baseline pada keempat metrik dengan p terkoreksi tepat 1,0000 dan selisih yang berkisar antara −0,0152 hingga +0,0115, yakni praktis nol. Pada CICIDS2017, konfigurasi yang sama mengungguli baseline secara signifikan pada macro-F1 dan G-mean. Perbedaan ini bukan soal kekuatan uji, melainkan soal besar efek: pada NSL-KDD efeknya memang tidak ada.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Ketiga, pada CICIDS2017 focal loss menurunkan F1 kelas Bot sebesar 0,1852 dan penurunan tersebut signifikan setelah koreksi. Ini merupakan satu-satunya efek negatif yang signifikan dalam seluruh eksperimen, dan menunjukkan bahwa focal loss bukan intervensi yang bebas risiko. Mekanismenya dibahas pada Bagian F.</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Keempat, penambahan class-specific attention di atas focal loss tidak memberikan peningkatan signifikan pada metrik mana pun, di dataset mana pun. Pada NSL-KDD seluruh p terkoreksi bernilai 1,0000; pada CICIDS2017 nilai terkecilnya 0,3418. Temuan ini konsisten pada kedua dataset meskipun temuan lain berbalik arah, dan merupakan kesimpulan yang paling dapat diandalkan dari keseluruhan studi: kedua mekanisme tidak bersifat komplementer.</w:t>
      </w:r>
    </w:p>
    <w:p>
      <w:pPr>
        <w:spacing w:after="140" w:before="280"/>
      </w:pPr>
      <w:r>
        <w:rPr>
          <w:rFonts w:ascii="Times New Roman" w:cs="Times New Roman" w:eastAsia="Times New Roman" w:hAnsi="Times New Roman"/>
          <w:b/>
          <w:bCs/>
          <w:i/>
          <w:iCs/>
          <w:sz w:val="22"/>
          <w:szCs w:val="22"/>
        </w:rPr>
        <w:t xml:space="preserve">D. Stabilitas Antar Seed</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Selain rerata, simpangan baku antar seed sendiri merupakan temuan. Pada CICIDS2017, baseline cross-entropy menghasilkan G-mean 0,3856 ± 0,3610 dan F1 WebAttack 0,8564 ± 0,2368. Pada kedua metrik tersebut, simpangan baku sebanding dengan reratanya. Artinya, tanpa intervensi apa pun, apakah model berhasil mendeteksi kelas langka sama sekali bergantung pada inisialisasi acak.</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Sebagai pembanding, seluruh konfigurasi yang memuat focal loss maupun class-specific attention memiliki simpangan baku G-mean tidak lebih dari 0,0276. Pola yang sama terlihat pada NSL-KDD: simpangan baku G-mean baseline 0,1466 dan Attn-only 0,1315, dibandingkan 0,0298 dan 0,0251 untuk kedua konfigurasi ber-focal.</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Dengan demikian, manfaat intervensi tidak hanya terletak pada peningkatan rerata melainkan juga pada reproduksibilitas. Hal ini memiliki implikasi praktis langsung: paper IDS yang melaporkan satu angka tunggal dari satu seed, sebagaimana lazim ditemui dalam literatur, berpotensi melaporkan hasil yang tidak dapat direproduksi bahkan oleh penulisnya sendiri. Pada konfigurasi baseline CICIDS2017, dua seed yang berbeda dapat menghasilkan macro-F1 0,9041 dan 0,6364.</w:t>
      </w:r>
    </w:p>
    <w:p>
      <w:pPr>
        <w:spacing w:after="140" w:before="280"/>
      </w:pPr>
      <w:r>
        <w:rPr>
          <w:rFonts w:ascii="Times New Roman" w:cs="Times New Roman" w:eastAsia="Times New Roman" w:hAnsi="Times New Roman"/>
          <w:b/>
          <w:bCs/>
          <w:i/>
          <w:iCs/>
          <w:sz w:val="22"/>
          <w:szCs w:val="22"/>
        </w:rPr>
        <w:t xml:space="preserve">E. Mengapa Efektivitas Mekanisme Bergantung pada Dataset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Pembalikan arah pada tataran arsitektur menuntut penjelasan mekanistik, bukan sekadar pelaporan. Untuk itu bobot attention rata-rata dari class-specific attention pooling dianalisis pada kedua dataset. Untuk setiap kelas, distribusi bobot atas seluruh token fitur dihitung, lalu dinyatakan sebagai entropi ternormalisasi H/H_maks. Nilai mendekati 1 berarti attention tersebar hampir merata ke seluruh token, sehingga mekanisme seleksi praktis tidak bekerja. Nilai yang jauh di bawah 1 berarti query kelas benar-benar memusatkan perhatian pada sejumlah kecil fitur. Gambar 2 menyajikan peta panasnya dan Tabel 4 merangkum nilainya.</w:t>
      </w:r>
    </w:p>
    <w:p>
      <w:pPr>
        <w:spacing w:after="100" w:before="200"/>
        <w:jc w:val="center"/>
      </w:pPr>
      <w:r>
        <w:rPr>
          <w:rFonts w:ascii="Times New Roman" w:cs="Times New Roman" w:eastAsia="Times New Roman" w:hAnsi="Times New Roman"/>
          <w:sz w:val="18"/>
          <w:szCs w:val="18"/>
        </w:rPr>
        <w:t xml:space="preserve">Tabel 4. Entropi ternormalisasi bobot attention per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400"/>
        <w:gridCol w:w="2000"/>
        <w:gridCol w:w="1140"/>
        <w:gridCol w:w="114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CICIDS2017</w:t>
            </w:r>
          </w:p>
        </w:tc>
        <w:tc>
          <w:tcPr>
            <w:tcW w:type="dxa" w:w="1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H/H_maks</w:t>
            </w:r>
          </w:p>
        </w:tc>
        <w:tc>
          <w:tcPr>
            <w:tcW w:type="dxa" w:w="1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puncak</w:t>
            </w:r>
          </w:p>
        </w:tc>
        <w:tc>
          <w:tcPr>
            <w:tcW w:type="dxa" w:w="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NSL-KDD</w:t>
            </w:r>
          </w:p>
        </w:tc>
        <w:tc>
          <w:tcPr>
            <w:tcW w:type="dxa" w:w="11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H/H_maks</w:t>
            </w:r>
          </w:p>
        </w:tc>
        <w:tc>
          <w:tcPr>
            <w:tcW w:type="dxa" w:w="11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puncak</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Bot</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0,678</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20,8×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R2L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0,808</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12,4×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Infiltration</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0,803</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Probe</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0,958</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BruteForce</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0,882</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11,4×</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DoS</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0,981</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PortScan</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0,892</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11,6×</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U2R</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0,987</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DoS</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0,914</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5,2×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Normal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0,990</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2,2×</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WebAttack</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0,925</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8,8×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Heartbleed</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0,939</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6,0×</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DDoS</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0,955</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7,0×</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Normal</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0,958</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6,6×</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r>
        <w:trPr>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rerata 0,883</w:t>
            </w:r>
          </w:p>
        </w:tc>
        <w:tc>
          <w:tcPr>
            <w:tcW w:type="dxa" w:w="1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rerata 0,945</w:t>
            </w:r>
          </w:p>
        </w:tc>
        <w:tc>
          <w:tcPr>
            <w:tcW w:type="dxa" w:w="11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c>
          <w:tcPr>
            <w:tcW w:type="dxa" w:w="11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
            </w:r>
          </w:p>
        </w:tc>
      </w:tr>
    </w:tbl>
    <w:p>
      <w:pPr>
        <w:spacing w:after="200" w:before="80"/>
        <w:jc w:val="both"/>
      </w:pPr>
      <w:r>
        <w:rPr>
          <w:rFonts w:ascii="Times New Roman" w:cs="Times New Roman" w:eastAsia="Times New Roman" w:hAnsi="Times New Roman"/>
          <w:i/>
          <w:iCs/>
          <w:sz w:val="18"/>
          <w:szCs w:val="18"/>
        </w:rPr>
        <w:t xml:space="preserve">Diurutkan dari yang paling terkonsentrasi. Kolom puncak menyatakan bobot attention tertinggi sebagai kelipatan dari bobot seragam (1/42 pada NSL-KDD, 1/79 pada CICIDS2017).</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Hasilnya berlawanan arah secara tepat, dan justru pada kelas yang paling penting. Pada NSL-KDD, U2R yang merupakan kelas paling langka dengan proporsi 0,04 persen justru memiliki attention paling seragam kedua, yaitu H/H_maks sebesar 0,987 dengan bobot puncak hanya 2,1 kali bobot seragam. Query khusus untuk kelas tersebut tersedia, tetapi praktis menganggur tepat pada kelas yang menjadi alasan mekanisme itu dirancang. Hal ini konsisten dengan hasil statistik: Attn-only tidak berbeda dari baseline.</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Pada CICIDS2017, dua kelas minoritas yakni Bot dan Infiltration justru merupakan dua kelas dengan attention paling terkonsentrasi, dengan H/H_maks sebesar 0,678 dan 0,803 serta bobot puncak 20,8 dan 14,2 kali bobot seragam. Mekanisme seleksi di sini benar-benar aktif, dan Attn-only memang mengungguli baseline secara signifikan.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Penjelasan yang dapat ditarik adalah bahwa class-specific attention pooling menolong apabila, dan hanya apabila, tersedia fitur yang benar-benar diskriminatif untuk dipilih oleh query kelas tersebut. NSL-KDD tidak menyediakannya untuk U2R, sehingga query hanya merata-ratakan seluruh token dan hasilnya setara dengan mean-pooling. CICIDS2017 menyediakannya untuk Bot, sehingga query dapat memusat dan memberikan keuntungan nyata. Rumusan ini bersifat dapat diuji: ia memprediksi bahwa pada dataset mana pun, manfaat mekanisme ini akan berbanding terbalik dengan entropi attention pada kelas minoritasnya.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Penjelasan tersebut melengkapi, bukan menggantikan, tiga argumen struktural yang telah dikemukakan pada Bagian II. Query per kelas memang hanya menyediakan wadah representasi tanpa memberikan insentif rebalancing; token tabular memang tidak memiliki struktur spasial sebagaimana feature map pada domain visual; dan softmax bersama pada klasifikasi multi-class memang membuat seluruh query saling bersaing dalam satu normalisasi. Ketiga faktor itu menjelaskan mengapa mekanisme ini rapuh pada data tabular. Analisis entropi menjelaskan mengapa kerapuhan tersebut terwujud pada satu dataset namun tidak pada dataset lain.</w:t>
      </w:r>
    </w:p>
    <w:p>
      <w:pPr>
        <w:spacing w:after="140" w:before="280"/>
      </w:pPr>
      <w:r>
        <w:rPr>
          <w:rFonts w:ascii="Times New Roman" w:cs="Times New Roman" w:eastAsia="Times New Roman" w:hAnsi="Times New Roman"/>
          <w:b/>
          <w:bCs/>
          <w:i/>
          <w:iCs/>
          <w:sz w:val="22"/>
          <w:szCs w:val="22"/>
        </w:rPr>
        <w:t xml:space="preserve">F. Perbandingan dengan Tataran Data dan Tree Ensemble</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Tabel 5 dan Tabel 6 membandingkan seluruh strategi terhadap pembanding klasik, disertai biaya komputasinya. Ukuran model dan latensi bersifat deterministik dan diukur satu kali per model; latensi diukur pada CPU satu thread.</w:t>
      </w:r>
    </w:p>
    <w:p>
      <w:pPr>
        <w:spacing w:after="100" w:before="200"/>
        <w:jc w:val="center"/>
      </w:pPr>
      <w:r>
        <w:rPr>
          <w:rFonts w:ascii="Times New Roman" w:cs="Times New Roman" w:eastAsia="Times New Roman" w:hAnsi="Times New Roman"/>
          <w:sz w:val="18"/>
          <w:szCs w:val="18"/>
        </w:rPr>
        <w:t xml:space="preserve">Tabel 5. Perbandingan menyeluruh pada NSL-KDD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1330"/>
        <w:gridCol w:w="133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Model</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(U2R)</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Ukuran (MB)</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Latensi (ms)</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0,6068 ± 0,0215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0,6239 ± 0,0298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0,1508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38,4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 + Focal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0,6027 ± 0,0113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0,6358 ± 0,0251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0,1471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45,3</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SMOTE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0,5919 ± 0,0299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0,4907 ± 0,0432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0,2739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40,1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XGBoost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0,5873 ± 0,0000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0,4018 ± 0,0000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0,3218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1,44</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4,8</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0,5500 ± 0,0213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0,1554 ± 0,1466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0,0390</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51,7</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0,5426 ± 0,0145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0,1669 ± 0,1315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0,0302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48,4</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Voting (RF+XGB)</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0,5371 ± 0,0021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0,2306 ± 0,0031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0,2499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14,55</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38,5</w:t>
            </w:r>
          </w:p>
        </w:tc>
      </w:tr>
      <w:tr>
        <w:trPr>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Random Forest</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0,4846 ± 0,0037</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0,1434 ± 0,0103</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0,0883</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13,17</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35,3</w:t>
            </w:r>
          </w:p>
        </w:tc>
      </w:tr>
    </w:tbl>
    <w:p>
      <w:pPr>
        <w:spacing w:after="100" w:before="200"/>
        <w:jc w:val="center"/>
      </w:pPr>
      <w:r>
        <w:rPr>
          <w:rFonts w:ascii="Times New Roman" w:cs="Times New Roman" w:eastAsia="Times New Roman" w:hAnsi="Times New Roman"/>
          <w:sz w:val="18"/>
          <w:szCs w:val="18"/>
        </w:rPr>
        <w:t xml:space="preserve">Tabel 6. Perbandingan menyeluruh pada CICIDS2017 (10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1330"/>
        <w:gridCol w:w="1330"/>
      </w:tblGrid>
      <w:tr>
        <w:trPr>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Model</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Macro-F1</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G-mean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F1 (Bot)</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Ukuran (MB)</w:t>
            </w:r>
          </w:p>
        </w:tc>
        <w:tc>
          <w:tcPr>
            <w:tcW w:type="dxa" w:w="13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18"/>
                <w:szCs w:val="18"/>
              </w:rPr>
              <w:t xml:space="preserve">Latensi (ms)</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XGBoost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0,9750 ± 0,0000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0,9853 ± 0,0000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0,9888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2,13</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7,1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Voting (RF+XGB)</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0,9737 ± 0,0029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0,9825 ± 0,0058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0,9897</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20,68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48,7</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Random Forest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0,9568 ± 0,0003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0,9513 ± 0,0005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0,9742</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18,51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33,5</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0,9060 ± 0,0190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0,8783 ± 0,0276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0,8590</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156,1</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SMOTE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0,8806 ± 0,0121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0,9389 ± 0,0144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0,8321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100,6</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0,8071 ± 0,0825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0,3856 ± 0,3610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0,8053</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0,21</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143,3</w:t>
            </w:r>
          </w:p>
        </w:tc>
      </w:tr>
      <w:tr>
        <w:trPr>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ClassAttn + Focal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0,7647 ± 0,0194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0,9471 ± 0,0061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0,6304</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167,3</w:t>
            </w:r>
          </w:p>
        </w:tc>
      </w:tr>
      <w:tr>
        <w:trPr>
          <w:tblHeader w:val="false"/>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Focal</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0,7391 ± 0,0231</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0,9446 ± 0,0117</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0,6201</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0,21</w:t>
            </w:r>
          </w:p>
        </w:tc>
        <w:tc>
          <w:tcPr>
            <w:tcW w:type="dxa" w:w="13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18"/>
                <w:szCs w:val="18"/>
              </w:rPr>
              <w:t xml:space="preserve">134,2</w:t>
            </w:r>
          </w:p>
        </w:tc>
      </w:tr>
    </w:tbl>
    <w:p>
      <w:pPr>
        <w:spacing w:after="120" w:before="0" w:line="276"/>
        <w:jc w:val="both"/>
      </w:pPr>
      <w:r>
        <w:rPr>
          <w:rFonts w:ascii="Times New Roman" w:cs="Times New Roman" w:eastAsia="Times New Roman" w:hAnsi="Times New Roman"/>
          <w:b w:val="false"/>
          <w:bCs w:val="false"/>
          <w:i w:val="false"/>
          <w:iCs w:val="false"/>
          <w:sz w:val="22"/>
          <w:szCs w:val="22"/>
        </w:rPr>
        <w:t xml:space="preserve">Hasil pada CICIDS2017 harus dinyatakan terus terang: tidak ada satu pun konfigurasi Transformer yang mengungguli XGBoost. XGBoost mencapai macro-F1 0,9750 dan G-mean 0,9853, melampaui seluruh varian Transformer pada setiap metrik sekaligus, dengan latensi inferensi 7,1 milidetik atau sekitar 22 kali lebih cepat daripada varian Transformer terbaik. Ia juga sepenuhnya deterministik, dengan simpangan baku nol pada seluruh metrik.</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Pada NSL-KDD gambarannya berbeda. Konfigurasi ber-focal loss mengungguli XGBoost pada macro-F1 dan G-mean dengan ukuran model enam kali lebih kecil, namun XGBoost tetap unggul telak pada F1 kelas U2R, yaitu 0,3218 berbanding 0,1508, dan tetap delapan kali lebih cepat. Pola yang berlawanan arah ini, yakni Transformer lebih kuat pada R2L sementara tree ensemble lebih kuat pada U2R, menunjukkan bahwa keunggulan tidak bersifat menyeluruh melainkan spesifik per kelas.</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Tataran data berada di posisi menengah pada kedua dataset. SMOTE mencapai macro-F1 yang mendekati tataran loss pada NSL-KDD dan melampauinya pada CICIDS2017, namun memerlukan tahap resampling tersendiri beserta pembengkakan data latih, sedangkan intervensi pada tataran loss tidak menambah biaya komputasi sama sekali.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Perbandingan ini juga memperjelas mengapa macro-F1 tidak layak menjadi metrik tunggal pada CICIDS2017. Focal loss menurunkan macro-F1 namun menaikkan G-mean secara dramatis, dan keduanya signifikan. Penjelasannya terletak pada pertukaran antara recall dan presisi: focal loss memaksa model memprediksi kelas langka secara agresif, sehingga recall kelas-kelas tersebut naik dari nol dan G-mean melonjak, tetapi presisinya runtuh sehingga F1 per kelas justru turun. Keduanya merupakan gambaran yang benar mengenai perilaku model, namun menjawab pertanyaan yang berbeda. Pada konteks IDS, ketika serangan yang tidak terdeteksi sama sekali jauh lebih mahal daripada alarm palsu, G-mean merupakan metrik yang lebih relevan. Gambar 3 memvisualisasikan pertukaran antara performa dan biaya komputasi pada kedua dataset.</w:t>
      </w:r>
    </w:p>
    <w:p>
      <w:pPr>
        <w:spacing w:after="140" w:before="280"/>
      </w:pPr>
      <w:r>
        <w:rPr>
          <w:rFonts w:ascii="Times New Roman" w:cs="Times New Roman" w:eastAsia="Times New Roman" w:hAnsi="Times New Roman"/>
          <w:b/>
          <w:bCs/>
          <w:i/>
          <w:iCs/>
          <w:sz w:val="22"/>
          <w:szCs w:val="22"/>
        </w:rPr>
        <w:t xml:space="preserve">G. Keterbatasan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Pertama, dan yang paling penting untuk dinyatakan: pada CICIDS2017, token min_seg_size_forward menjadi bobot puncak bagi tujuh dari sembilan query kelas. Fitur ini telah lama dicurigai sebagai artefak dalam cara CICIDS2017 dibangkitkan, dan bukan sebagai sifat intrinsik serangan jaringan. Apabila model memang bersandar pada fitur tersebut, sebagian keunggulan Attn-only pada dataset ini dapat merupakan shortcut learning alih-alih deteksi serangan yang sesungguhnya. Pengujian ulang tanpa fitur tersebut merupakan pekerjaan lanjutan yang diperlukan sebelum klaim mengenai keberhasilan tataran arsitektur dapat dianggap mapan.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Kedua, pembatasan 50.000 baris per kelas pada CICIDS2017 menurunkan rasio ketidakseimbangan dari sekitar 190.000:1 menjadi 4.545:1. Hasil pada dataset ini karena itu berlaku untuk rezim ketidakseimbangan yang lebih ringan daripada data aslinya, meskipun masih jauh lebih ekstrem daripada NSL-KDD.</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Ketiga, Heartbleed dan Infiltration pada CICIDS2017 masing-masing hanya memiliki tiga dan sembilan sampel uji, sehingga F1 keduanya tidak dapat ditafsirkan secara kuantitatif. Yang dapat dinyatakan secara kualitatif adalah bahwa baseline cross-entropy menghasilkan F1 tepat nol pada kedua kelas tersebut, sementara konfigurasi ber-focal loss tidak. Inilah penyebab runtuhnya G-mean baseline, dan temuan tersebut sejalan dengan arah hasil pada kelas minoritas yang dapat diukur.</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Keempat, implementasi SMOTE memperlakukan fitur kategorikal sebagai numerik terenkode lalu dibulatkan; penggunaan SMOTE-NC akan lebih tepat secara metodologis. Kelima, pengukuran efisiensi dilakukan pada lingkungan CPU tersimulasi dengan satu thread, bukan pada perangkat edge fisik, sehingga istilah yang digunakan dalam artikel ini adalah computational efficiency dan bukan edge deployment. Keenam, tree ensemble dilatih pada CPU multi-core sementara Transformer dilatih pada GPU, sehingga waktu latih keduanya tidak sebanding dan yang dibandingkan hanyalah ukuran model serta latensi inferensi.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2026-10-10T16:47:50.779Z</dcterms:created>
  <dcterms:modified xsi:type="dcterms:W3CDTF">2026-10-10T16:47:50.786Z</dcterms:modified>
</cp:coreProperties>
</file>

<file path=docProps/custom.xml><?xml version="1.0" encoding="utf-8"?>
<Properties xmlns="http://schemas.openxmlformats.org/officeDocument/2006/custom-properties" xmlns:vt="http://schemas.openxmlformats.org/officeDocument/2006/docPropsVTypes"/>
</file>