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ТЗ: AI-инструмент сравнения тендерных требований и заявок</w:t>
      </w:r>
    </w:p>
    <w:p>
      <w:pPr/>
      <w:r>
        <w:t xml:space="preserve">Oct 8, 2026</w:t>
      </w:r>
      <w:r>
        <w:t xml:space="preserve"> · </w:t>
      </w:r>
      <w:r>
        <w:t xml:space="preserve">@Марат</w:t>
      </w:r>
      <w:r>
        <w:t xml:space="preserve"> · Черновик v0.1</w:t>
      </w:r>
    </w:p>
    <w:p>
      <w:pPr>
        <w:pStyle w:val="Heading2"/>
      </w:pPr>
      <w:r>
        <w:t xml:space="preserve">1. Назначение и цели</w:t>
      </w:r>
    </w:p>
    <w:p>
      <w:pPr/>
      <w:r>
        <w:t xml:space="preserve">Инструмент автоматически сверяет заявку участника с требованиями закупочной документации и выдаёт процент соответствия, список несоответствий и план их устранения. Рабочее название — «Тендер-Сверка» (уточнить).</w:t>
      </w:r>
    </w:p>
    <w:p>
      <w:pPr/>
      <w:r>
        <w:rPr>
          <w:b/>
        </w:rPr>
        <w:t xml:space="preserve">Проблема.</w:t>
      </w:r>
      <w:r>
        <w:t xml:space="preserve"> Тендерная документация занимает десятки–сотни страниц: сканы, таблицы, чертежи, приложения на разных языках. Специалист вручную выписывает требования, собирает пакет и сверяет его построчно. Это занимает от нескольких часов до дней, а пропущенное требование ведёт к отклонению заявки.</w:t>
      </w:r>
    </w:p>
    <w:p>
      <w:pPr/>
      <w:r>
        <w:rPr>
          <w:b/>
        </w:rPr>
        <w:t xml:space="preserve">Цели продукта:</w:t>
      </w:r>
    </w:p>
    <w:p>
      <w:pPr>
        <w:pStyle w:val="ListParagraph"/>
        <w:numPr>
          <w:ilvl w:val="0"/>
          <w:numId w:val="2"/>
        </w:numPr>
      </w:pPr>
      <w:r>
        <w:t xml:space="preserve">Извлечь из документации заказчика все требования к товару (работе, услуге) и к участнику и превратить их в структурированный чек-лист.</w:t>
      </w:r>
    </w:p>
    <w:p>
      <w:pPr>
        <w:pStyle w:val="ListParagraph"/>
        <w:numPr>
          <w:ilvl w:val="0"/>
          <w:numId w:val="2"/>
        </w:numPr>
      </w:pPr>
      <w:r>
        <w:t xml:space="preserve">Извлечь из пакета заявки участника фактические характеристики товара и сведения об участнике в той же структуре.</w:t>
      </w:r>
    </w:p>
    <w:p>
      <w:pPr>
        <w:pStyle w:val="ListParagraph"/>
        <w:numPr>
          <w:ilvl w:val="0"/>
          <w:numId w:val="2"/>
        </w:numPr>
      </w:pPr>
      <w:r>
        <w:t xml:space="preserve">Сопоставить оба чек-листа и пометить каждое требование: соответствует, не соответствует, частично, не подтверждено документом.</w:t>
      </w:r>
    </w:p>
    <w:p>
      <w:pPr>
        <w:pStyle w:val="ListParagraph"/>
        <w:numPr>
          <w:ilvl w:val="0"/>
          <w:numId w:val="2"/>
        </w:numPr>
      </w:pPr>
      <w:r>
        <w:t xml:space="preserve">Рассчитать итоговый процент соответствия с раздельными оценками по товару и по участнику.</w:t>
      </w:r>
    </w:p>
    <w:p>
      <w:pPr>
        <w:pStyle w:val="ListParagraph"/>
        <w:numPr>
          <w:ilvl w:val="0"/>
          <w:numId w:val="2"/>
        </w:numPr>
      </w:pPr>
      <w:r>
        <w:t xml:space="preserve">Сформировать аналитический вывод и конкретные рекомендации по устранению каждого несоответствия.</w:t>
      </w:r>
    </w:p>
    <w:p>
      <w:pPr/>
      <w:r>
        <w:rPr>
          <w:b/>
        </w:rPr>
        <w:t xml:space="preserve">Целевые показатели (предварительно, к согласованию):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Цель MVP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Полнота извлечения требований (recall)</w:t>
            </w:r>
          </w:p>
        </w:tc>
        <w:tc>
          <w:tcPr>
            <w:tcW w:w="4680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Точность классификации соответствия</w:t>
            </w:r>
          </w:p>
        </w:tc>
        <w:tc>
          <w:tcPr>
            <w:tcW w:w="4680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Время обработки пакета до 100 страниц</w:t>
            </w:r>
          </w:p>
        </w:tc>
        <w:tc>
          <w:tcPr>
            <w:tcW w:w="4680" w:type="dxa"/>
          </w:tcPr>
          <w:p>
            <w:pPr/>
            <w:r>
              <w:t xml:space="preserve">≤ 10 мин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Сокращение времени ручной сверки</w:t>
            </w:r>
          </w:p>
        </w:tc>
        <w:tc>
          <w:tcPr>
            <w:tcW w:w="4680" w:type="dxa"/>
          </w:tcPr>
          <w:p>
            <w:pPr/>
            <w:r>
              <w:t xml:space="preserve">в 5 раз и более</w:t>
            </w:r>
          </w:p>
        </w:tc>
      </w:tr>
    </w:tbl>
    <w:p>
      <w:pPr>
        <w:pStyle w:val="Heading2"/>
      </w:pPr>
      <w:r>
        <w:t xml:space="preserve">2. Пользователи и сценарии</w:t>
      </w:r>
    </w:p>
    <w:p>
      <w:pPr/>
      <w:r>
        <w:t xml:space="preserve">Инструмент работает с обеих сторон закупки: поставщик проверяет свою заявку до подачи, заказчик или комиссия — поступившие заявки.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Тендерный специалист поставщика</w:t>
            </w:r>
          </w:p>
        </w:tc>
        <w:tc>
          <w:tcPr>
            <w:tcW w:w="3120" w:type="dxa"/>
          </w:tcPr>
          <w:p>
            <w:pPr/>
            <w:r>
              <w:t xml:space="preserve">Проверить свою заявку до подачи</w:t>
            </w:r>
          </w:p>
        </w:tc>
        <w:tc>
          <w:tcPr>
            <w:tcW w:w="3120" w:type="dxa"/>
          </w:tcPr>
          <w:p>
            <w:pPr/>
            <w:r>
              <w:t xml:space="preserve">Список доработок, чтобы не быть отклонённым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Руководитель поставщика</w:t>
            </w:r>
          </w:p>
        </w:tc>
        <w:tc>
          <w:tcPr>
            <w:tcW w:w="3120" w:type="dxa"/>
          </w:tcPr>
          <w:p>
            <w:pPr/>
            <w:r>
              <w:t xml:space="preserve">Решить, участвовать ли в тендере</w:t>
            </w:r>
          </w:p>
        </w:tc>
        <w:tc>
          <w:tcPr>
            <w:tcW w:w="3120" w:type="dxa"/>
          </w:tcPr>
          <w:p>
            <w:pPr/>
            <w:r>
              <w:t xml:space="preserve">Чек-лист требований + оценка готовности компании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Специалист заказчика / член комиссии</w:t>
            </w:r>
          </w:p>
        </w:tc>
        <w:tc>
          <w:tcPr>
            <w:tcW w:w="3120" w:type="dxa"/>
          </w:tcPr>
          <w:p>
            <w:pPr/>
            <w:r>
              <w:t xml:space="preserve">Проверить поступившие заявки</w:t>
            </w:r>
          </w:p>
        </w:tc>
        <w:tc>
          <w:tcPr>
            <w:tcW w:w="3120" w:type="dxa"/>
          </w:tcPr>
          <w:p>
            <w:pPr/>
            <w:r>
              <w:t xml:space="preserve">Отчёт по каждому участнику, сравнение участников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Администратор</w:t>
            </w:r>
          </w:p>
        </w:tc>
        <w:tc>
          <w:tcPr>
            <w:tcW w:w="3120" w:type="dxa"/>
          </w:tcPr>
          <w:p>
            <w:pPr/>
            <w:r>
              <w:t xml:space="preserve">Настроить справочники, веса, шаблоны</w:t>
            </w:r>
          </w:p>
        </w:tc>
        <w:tc>
          <w:tcPr>
            <w:tcW w:w="3120" w:type="dxa"/>
          </w:tcPr>
          <w:p>
            <w:pPr/>
            <w:r>
              <w:t xml:space="preserve">Адаптация под правила площадки / клиента</w:t>
            </w:r>
          </w:p>
        </w:tc>
      </w:tr>
    </w:tbl>
    <w:p>
      <w:pPr/>
      <w:r>
        <w:rPr>
          <w:b/>
        </w:rPr>
        <w:t xml:space="preserve">Основные сценарии: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Анализ тендера.</w:t>
      </w:r>
      <w:r>
        <w:t xml:space="preserve"> Загрузка только документации заказчика → чек-лист требований + список документов, которые нужно подготовить.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Самопроверка заявки.</w:t>
      </w:r>
      <w:r>
        <w:t xml:space="preserve"> Документация заказчика + свой пакет → отчёт о соответствии, % и рекомендации.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Повторная проверка.</w:t>
      </w:r>
      <w:r>
        <w:t xml:space="preserve"> Дозагрузка исправленных документов → пересчёт только затронутых пунктов, история версий (было 72% → стало 94%).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Проверка нескольких заявок (заказчик).</w:t>
      </w:r>
      <w:r>
        <w:t xml:space="preserve"> Одна документация + N пакетов → сводная таблица участников по каждому требованию.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Разъяснения и изменения.</w:t>
      </w:r>
      <w:r>
        <w:t xml:space="preserve"> Дозагрузка разъяснений / изменений документации → чек-лист обновляется, изменённые пункты помечаются.</w:t>
      </w:r>
    </w:p>
    <w:p>
      <w:pPr>
        <w:pStyle w:val="Heading2"/>
      </w:pPr>
      <w:r>
        <w:t xml:space="preserve">3. Входные данные и распознавание</w:t>
      </w:r>
    </w:p>
    <w:p>
      <w:pPr/>
      <w:r>
        <w:t xml:space="preserve">Инструмент принимает документы в любом распространённом формате и приводит их к единому текстовому представлению с сохранением структуры и ссылкой на источник (файл, страница, область на странице).</w:t>
      </w:r>
    </w:p>
    <w:p>
      <w:pPr>
        <w:pStyle w:val="Heading3"/>
      </w:pPr>
      <w:r>
        <w:t xml:space="preserve">3.1. Форматы и способы загрузки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Группа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Форматы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Текстовые</w:t>
            </w:r>
          </w:p>
        </w:tc>
        <w:tc>
          <w:tcPr>
            <w:tcW w:w="4680" w:type="dxa"/>
          </w:tcPr>
          <w:p>
            <w:pPr/>
            <w:r>
              <w:t xml:space="preserve">PDF (текстовый и скан), DOC, DOCX, RTF, ODT, TXT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Табличные</w:t>
            </w:r>
          </w:p>
        </w:tc>
        <w:tc>
          <w:tcPr>
            <w:tcW w:w="4680" w:type="dxa"/>
          </w:tcPr>
          <w:p>
            <w:pPr/>
            <w:r>
              <w:t xml:space="preserve">XLS, XLSX, ODS, CSV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Изображения</w:t>
            </w:r>
          </w:p>
        </w:tc>
        <w:tc>
          <w:tcPr>
            <w:tcW w:w="4680" w:type="dxa"/>
          </w:tcPr>
          <w:p>
            <w:pPr/>
            <w:r>
              <w:t xml:space="preserve">JPG, PNG, TIFF (в т.ч. многостраничный), HEIC, BMP, WEBP — фото с телефона и сканы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Чертежи и схемы</w:t>
            </w:r>
          </w:p>
        </w:tc>
        <w:tc>
          <w:tcPr>
            <w:tcW w:w="4680" w:type="dxa"/>
          </w:tcPr>
          <w:p>
            <w:pPr/>
            <w:r>
              <w:t xml:space="preserve">PDF/изображения чертежей; DWG/DXF — во второй очереди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Архивы</w:t>
            </w:r>
          </w:p>
        </w:tc>
        <w:tc>
          <w:tcPr>
            <w:tcW w:w="4680" w:type="dxa"/>
          </w:tcPr>
          <w:p>
            <w:pPr/>
            <w:r>
              <w:t xml:space="preserve">ZIP, RAR, 7Z — распаковка с сохранением структуры папок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Прочее</w:t>
            </w:r>
          </w:p>
        </w:tc>
        <w:tc>
          <w:tcPr>
            <w:tcW w:w="4680" w:type="dxa"/>
          </w:tcPr>
          <w:p>
            <w:pPr/>
            <w:r>
              <w:t xml:space="preserve">Вставка текста вручную; ссылка на лот (импорт документации с площадки)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Загрузка двумя отдельными пакетами: «Документация заказчика» и «Заявка участника»; drag-and-drop, множественный выбор файлов.</w:t>
      </w:r>
    </w:p>
    <w:p>
      <w:pPr>
        <w:pStyle w:val="ListParagraph"/>
        <w:numPr>
          <w:ilvl w:val="0"/>
          <w:numId w:val="4"/>
        </w:numPr>
      </w:pPr>
      <w:r>
        <w:t xml:space="preserve">Лимиты MVP : до 100 файлов и 500 МБ на пакет, до 1000 страниц.</w:t>
      </w:r>
    </w:p>
    <w:p>
      <w:pPr>
        <w:pStyle w:val="ListParagraph"/>
        <w:numPr>
          <w:ilvl w:val="0"/>
          <w:numId w:val="4"/>
        </w:numPr>
      </w:pPr>
      <w:r>
        <w:t xml:space="preserve">Автоматическая классификация файлов по типу: ТЗ, спецификация, проект договора, квалификационные требования, критерии оценки, сертификат, лицензия, справка, доверенность, каталог производителя, чертёж и т.д. Пользователь может исправить тип.</w:t>
      </w:r>
    </w:p>
    <w:p>
      <w:pPr>
        <w:pStyle w:val="Heading3"/>
      </w:pPr>
      <w:r>
        <w:t xml:space="preserve">3.2. Распознавание (OCR и анализ макета)</w:t>
      </w:r>
    </w:p>
    <w:p>
      <w:pPr>
        <w:pStyle w:val="ListParagraph"/>
        <w:numPr>
          <w:ilvl w:val="0"/>
          <w:numId w:val="5"/>
        </w:numPr>
      </w:pPr>
      <w:r>
        <w:t xml:space="preserve">Распознавание текста со сканов и фото: повернутые, наклонные, с искажением перспективы, низкого качества (от 150 dpi). Автоматическое выравнивание, очистка шума, контраст.</w:t>
      </w:r>
    </w:p>
    <w:p>
      <w:pPr>
        <w:pStyle w:val="ListParagraph"/>
        <w:numPr>
          <w:ilvl w:val="0"/>
          <w:numId w:val="5"/>
        </w:numPr>
      </w:pPr>
      <w:r>
        <w:t xml:space="preserve">Любые шрифты: печатные, моноширинные, чертёжные (ГОСТ 2.304), рукописные пометки и даты.</w:t>
      </w:r>
    </w:p>
    <w:p>
      <w:pPr>
        <w:pStyle w:val="ListParagraph"/>
        <w:numPr>
          <w:ilvl w:val="0"/>
          <w:numId w:val="5"/>
        </w:numPr>
      </w:pPr>
      <w:r>
        <w:t xml:space="preserve">Таблицы: восстановление структуры с объединёнными ячейками и таблицами, переходящими на следующую страницу.</w:t>
      </w:r>
    </w:p>
    <w:p>
      <w:pPr>
        <w:pStyle w:val="ListParagraph"/>
        <w:numPr>
          <w:ilvl w:val="0"/>
          <w:numId w:val="5"/>
        </w:numPr>
      </w:pPr>
      <w:r>
        <w:t xml:space="preserve">Реквизиты документа: наличие печати, подписи, QR-кода, штрихкода; номер и дата документа, срок действия.</w:t>
      </w:r>
    </w:p>
    <w:p>
      <w:pPr>
        <w:pStyle w:val="ListParagraph"/>
        <w:numPr>
          <w:ilvl w:val="0"/>
          <w:numId w:val="5"/>
        </w:numPr>
      </w:pPr>
      <w:r>
        <w:t xml:space="preserve">Каждому распознанному фрагменту присваивается уверенность (0–100%). Низкая уверенность → фрагмент помечается на ручную проверку, а не принимается молча.</w:t>
      </w:r>
    </w:p>
    <w:p>
      <w:pPr>
        <w:pStyle w:val="Heading3"/>
      </w:pPr>
      <w:r>
        <w:t xml:space="preserve">3.3. Чертежи</w:t>
      </w:r>
    </w:p>
    <w:p>
      <w:pPr>
        <w:pStyle w:val="ListParagraph"/>
        <w:numPr>
          <w:ilvl w:val="0"/>
          <w:numId w:val="6"/>
        </w:numPr>
      </w:pPr>
      <w:r>
        <w:t xml:space="preserve">Извлечение данных штампа (основная надпись): наименование, обозначение, материал, масса, масштаб.</w:t>
      </w:r>
    </w:p>
    <w:p>
      <w:pPr>
        <w:pStyle w:val="ListParagraph"/>
        <w:numPr>
          <w:ilvl w:val="0"/>
          <w:numId w:val="6"/>
        </w:numPr>
      </w:pPr>
      <w:r>
        <w:t xml:space="preserve">Размеры и допуски, примечания, технические требования на поле чертежа, спецификация и выноски.</w:t>
      </w:r>
    </w:p>
    <w:p>
      <w:pPr>
        <w:pStyle w:val="ListParagraph"/>
        <w:numPr>
          <w:ilvl w:val="0"/>
          <w:numId w:val="6"/>
        </w:numPr>
      </w:pPr>
      <w:r>
        <w:t xml:space="preserve">Понимание графики (тип изделия, состав узлов) через мультимодальную модель; точные размеры берутся только из распознанных подписей, не из измерения по картинке.</w:t>
      </w:r>
    </w:p>
    <w:p>
      <w:pPr>
        <w:pStyle w:val="Heading3"/>
      </w:pPr>
      <w:r>
        <w:t xml:space="preserve">3.4. Языки</w:t>
      </w:r>
    </w:p>
    <w:p>
      <w:pPr>
        <w:pStyle w:val="ListParagraph"/>
        <w:numPr>
          <w:ilvl w:val="0"/>
          <w:numId w:val="7"/>
        </w:numPr>
      </w:pPr>
      <w:r>
        <w:t xml:space="preserve">Обязательные: узбекский (латиница и кириллица), русский, английский.</w:t>
      </w:r>
    </w:p>
    <w:p>
      <w:pPr>
        <w:pStyle w:val="ListParagraph"/>
        <w:numPr>
          <w:ilvl w:val="0"/>
          <w:numId w:val="7"/>
        </w:numPr>
      </w:pPr>
      <w:r>
        <w:t xml:space="preserve">Расширенные: китайский, турецкий, казахский, немецкий, корейский и другие языки, поддерживаемые моделью (каталоги и сертификаты производителей).</w:t>
      </w:r>
    </w:p>
    <w:p>
      <w:pPr>
        <w:pStyle w:val="ListParagraph"/>
        <w:numPr>
          <w:ilvl w:val="0"/>
          <w:numId w:val="7"/>
        </w:numPr>
      </w:pPr>
      <w:r>
        <w:t xml:space="preserve">Смешанные языки в одном документе и между пакетами: требование на русском сопоставляется с паспортом товара на английском или китайском.</w:t>
      </w:r>
    </w:p>
    <w:p>
      <w:pPr>
        <w:pStyle w:val="ListParagraph"/>
        <w:numPr>
          <w:ilvl w:val="0"/>
          <w:numId w:val="7"/>
        </w:numPr>
      </w:pPr>
      <w:r>
        <w:t xml:space="preserve">Язык отчёта выбирает пользователь (RU / UZ / EN); исходные цитаты показываются на языке оригинала с переводом.</w:t>
      </w:r>
    </w:p>
    <w:p>
      <w:pPr>
        <w:pStyle w:val="Heading2"/>
      </w:pPr>
      <w:r>
        <w:t xml:space="preserve">4. Извлечение требований заказчика</w:t>
      </w:r>
    </w:p>
    <w:p>
      <w:pPr/>
      <w:r>
        <w:t xml:space="preserve">Из документации заказчика строятся два чек-листа — «Требования к товару» и «Требования к участнику», где каждое требование атомарно (одно условие = одна строка) и имеет ссылку на место в исходном документе.</w:t>
      </w:r>
    </w:p>
    <w:p>
      <w:pPr>
        <w:pStyle w:val="Heading3"/>
      </w:pPr>
      <w:r>
        <w:t xml:space="preserve">4.1. Что извлекается</w:t>
      </w:r>
    </w:p>
    <w:p>
      <w:pPr/>
      <w:r>
        <w:rPr>
          <w:b/>
        </w:rPr>
        <w:t xml:space="preserve">К товару (работе, услуге):</w:t>
      </w:r>
      <w:r>
        <w:t xml:space="preserve"> наименование и код классификатора, количество и единицы, технические характеристики (с операторами не менее / не более / диапазон / равно), стандарты (ГОСТ, O‘z DSt, ISO, IEC), страна происхождения и ограничения, год выпуска / новизна, сертификаты и декларации, упаковка и маркировка, гарантия, срок и место поставки, монтаж и обучение, документация в комплекте, эквивалентность («или эквивалент»).</w:t>
      </w:r>
    </w:p>
    <w:p>
      <w:pPr/>
      <w:r>
        <w:rPr>
          <w:b/>
        </w:rPr>
        <w:t xml:space="preserve">К участнику:</w:t>
      </w:r>
      <w:r>
        <w:t xml:space="preserve"> правоспособность и регистрация, отсутствие в реестре недобросовестных исполнителей, отсутствие налоговой задолженности, не в стадии банкротства/ликвидации, лицензии и разрешения, статус производителя или дилера (авторизационное письмо), опыт аналогичных поставок (количество, сумма, период), финансовая устойчивость (оборот, баланс), специалисты и квалификация, материально-техническая база, сервисный центр, обеспечение заявки и исполнения, формы и оформление заявки (подпись, печать, язык, срок действия предложения) и другие возможные требования.</w:t>
      </w:r>
    </w:p>
    <w:p>
      <w:pPr>
        <w:pStyle w:val="Heading3"/>
      </w:pPr>
      <w:r>
        <w:t xml:space="preserve">4.2. Понимание контекста</w:t>
      </w:r>
    </w:p>
    <w:p>
      <w:pPr>
        <w:pStyle w:val="ListParagraph"/>
        <w:numPr>
          <w:ilvl w:val="0"/>
          <w:numId w:val="8"/>
        </w:numPr>
      </w:pPr>
      <w:r>
        <w:t xml:space="preserve">Отличать обязательные требования («должен», «обязательно», «не допускается») от желательных и оценочных (дают баллы, но не ведут к отклонению).</w:t>
      </w:r>
    </w:p>
    <w:p>
      <w:pPr>
        <w:pStyle w:val="ListParagraph"/>
        <w:numPr>
          <w:ilvl w:val="0"/>
          <w:numId w:val="8"/>
        </w:numPr>
      </w:pPr>
      <w:r>
        <w:t xml:space="preserve">Различать требование и справочный текст (преамбула, цитаты закона, инструкции площадки).</w:t>
      </w:r>
    </w:p>
    <w:p>
      <w:pPr>
        <w:pStyle w:val="ListParagraph"/>
        <w:numPr>
          <w:ilvl w:val="0"/>
          <w:numId w:val="8"/>
        </w:numPr>
      </w:pPr>
      <w:r>
        <w:t xml:space="preserve">Раскрывать ссылки: «согласно Приложению 3», «по форме №2», «см. п. 4.2.1» — требование собирается из нескольких мест.</w:t>
      </w:r>
    </w:p>
    <w:p>
      <w:pPr>
        <w:pStyle w:val="ListParagraph"/>
        <w:numPr>
          <w:ilvl w:val="0"/>
          <w:numId w:val="8"/>
        </w:numPr>
      </w:pPr>
      <w:r>
        <w:t xml:space="preserve">Выявлять дубли и противоречия внутри документации заказчика (в ТЗ «гарантия 24 мес», в договоре «12 мес») и выносить их в отдельный блок «Вопросы к заказчику».</w:t>
      </w:r>
    </w:p>
    <w:p>
      <w:pPr>
        <w:pStyle w:val="ListParagraph"/>
        <w:numPr>
          <w:ilvl w:val="0"/>
          <w:numId w:val="8"/>
        </w:numPr>
      </w:pPr>
      <w:r>
        <w:t xml:space="preserve">Помечать потенциально ограничивающие конкуренцию требования (указание товарного знака без «или эквивалент», уникальные параметры одного производителя).</w:t>
      </w:r>
    </w:p>
    <w:p>
      <w:pPr>
        <w:pStyle w:val="ListParagraph"/>
        <w:numPr>
          <w:ilvl w:val="0"/>
          <w:numId w:val="8"/>
        </w:numPr>
      </w:pPr>
      <w:r>
        <w:t xml:space="preserve">Нормализовать единицы измерения (кВт/Вт, дюймы/мм, °F/°C) и синонимы параметров («мощность» = «quvvat» = «power»).</w:t>
      </w:r>
    </w:p>
    <w:p>
      <w:pPr>
        <w:pStyle w:val="Heading3"/>
      </w:pPr>
      <w:r>
        <w:t xml:space="preserve">4.3. Структура пункта чек-листа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Пример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</w:t>
            </w:r>
          </w:p>
        </w:tc>
        <w:tc>
          <w:tcPr>
            <w:tcW w:w="4680" w:type="dxa"/>
          </w:tcPr>
          <w:p>
            <w:pPr/>
            <w:r>
              <w:t xml:space="preserve">T-014 (товар) / U-007 (участник)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Категория</w:t>
            </w:r>
          </w:p>
        </w:tc>
        <w:tc>
          <w:tcPr>
            <w:tcW w:w="4680" w:type="dxa"/>
          </w:tcPr>
          <w:p>
            <w:pPr/>
            <w:r>
              <w:t xml:space="preserve">Технические характеристики / Квалификация / Документы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Позиция лота</w:t>
            </w:r>
          </w:p>
        </w:tc>
        <w:tc>
          <w:tcPr>
            <w:tcW w:w="4680" w:type="dxa"/>
          </w:tcPr>
          <w:p>
            <w:pPr/>
            <w:r>
              <w:t xml:space="preserve">Поз. 3 «Ноутбук» (для многопозиционных лотов)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</w:tcPr>
          <w:p>
            <w:pPr/>
            <w:r>
              <w:t xml:space="preserve">Оперативная память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Условие</w:t>
            </w:r>
          </w:p>
        </w:tc>
        <w:tc>
          <w:tcPr>
            <w:tcW w:w="4680" w:type="dxa"/>
          </w:tcPr>
          <w:p>
            <w:pPr/>
            <w:r>
              <w:t xml:space="preserve">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Значение + единица</w:t>
            </w:r>
          </w:p>
        </w:tc>
        <w:tc>
          <w:tcPr>
            <w:tcW w:w="4680" w:type="dxa"/>
          </w:tcPr>
          <w:p>
            <w:pPr/>
            <w:r>
              <w:t xml:space="preserve">16 ГБ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Тип</w:t>
            </w:r>
          </w:p>
        </w:tc>
        <w:tc>
          <w:tcPr>
            <w:tcW w:w="4680" w:type="dxa"/>
          </w:tcPr>
          <w:p>
            <w:pPr/>
            <w:r>
              <w:t xml:space="preserve">Обязательное / Оценочное / Желательное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Способ подтверждения</w:t>
            </w:r>
          </w:p>
        </w:tc>
        <w:tc>
          <w:tcPr>
            <w:tcW w:w="4680" w:type="dxa"/>
          </w:tcPr>
          <w:p>
            <w:pPr/>
            <w:r>
              <w:t xml:space="preserve">Технический паспорт / сертификат / справка / декларация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Последствие невыполнения</w:t>
            </w:r>
          </w:p>
        </w:tc>
        <w:tc>
          <w:tcPr>
            <w:tcW w:w="4680" w:type="dxa"/>
          </w:tcPr>
          <w:p>
            <w:pPr/>
            <w:r>
              <w:t xml:space="preserve">Отклонение / снижение балла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Источник</w:t>
            </w:r>
          </w:p>
        </w:tc>
        <w:tc>
          <w:tcPr>
            <w:tcW w:w="4680" w:type="dxa"/>
          </w:tcPr>
          <w:p>
            <w:pPr/>
            <w:r>
              <w:t xml:space="preserve">ТЗ.pdf, стр. 7, п. 2.3 + цитата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Уверенность AI</w:t>
            </w:r>
          </w:p>
        </w:tc>
        <w:tc>
          <w:tcPr>
            <w:tcW w:w="4680" w:type="dxa"/>
          </w:tcPr>
          <w:p>
            <w:pPr/>
            <w:r>
              <w:t xml:space="preserve">96%</w:t>
            </w:r>
          </w:p>
        </w:tc>
      </w:tr>
    </w:tbl>
    <w:p>
      <w:pPr/>
      <w:r>
        <w:t xml:space="preserve">Пользователь может редактировать, объединять, удалять и добавлять пункты вручную; чек-лист фиксируется («утвердить») перед сравнением.</w:t>
      </w:r>
    </w:p>
    <w:p>
      <w:pPr>
        <w:pStyle w:val="Heading2"/>
      </w:pPr>
      <w:r>
        <w:t xml:space="preserve">5. Разбор заявки участника</w:t>
      </w:r>
    </w:p>
    <w:p>
      <w:pPr/>
      <w:r>
        <w:t xml:space="preserve">Пакет заявки обрабатывается тем же конвейером распознавания, но извлекаются не требования, а заявленные факты и подтверждающие их документы.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Факты о товаре:</w:t>
      </w:r>
      <w:r>
        <w:t xml:space="preserve"> модель, производитель, страна, фактические значения характеристик, количество, цена, сроки, гарантия — из технического предложения, паспортов, каталогов, сертификатов, чертежей.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Факты об участнике:</w:t>
      </w:r>
      <w:r>
        <w:t xml:space="preserve"> наименование, ИНН (STIR), дата регистрации, руководитель, лицензии (номер, вид деятельности, срок), опыт (договоры, акты, суммы), финансовые показатели, справки.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Контроль документа:</w:t>
      </w:r>
      <w:r>
        <w:t xml:space="preserve"> срок действия на дату подачи, наличие подписи и печати, совпадение реквизитов участника во всех документах, наличие перевода если он требуется.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Внутренние противоречия заявки:</w:t>
      </w:r>
      <w:r>
        <w:t xml:space="preserve"> в техпредложении одно значение, в паспорте товара — другое; разные модели в разных документах.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Приоритет источников:</w:t>
      </w:r>
      <w:r>
        <w:t xml:space="preserve"> официальный документ производителя / сертификат &gt; техпредложение участника &gt; маркетинговые материалы. Заявление без подтверждающего документа помечается как «заявлено, не подтверждено».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Результат:</w:t>
      </w:r>
      <w:r>
        <w:t xml:space="preserve"> чек-лист заявки в той же структуре полей, что и чек-лист заказчика (раздел 4.3), чтобы их можно было сравнить построчно.</w:t>
      </w:r>
    </w:p>
    <w:p>
      <w:pPr/>
      <w:r>
        <w:rPr>
          <w:b/>
        </w:rPr>
        <w:t xml:space="preserve">Проверка по внешним источникам (вторая очередь):</w:t>
      </w:r>
      <w:r>
        <w:t xml:space="preserve"> сверка ИНН с реестром компаний, реестром недобросовестных исполнителей и лицензий — в связке с модулем проверки контрагентов TenderZone.</w:t>
      </w:r>
    </w:p>
    <w:p>
      <w:pPr>
        <w:pStyle w:val="Heading2"/>
      </w:pPr>
      <w:r>
        <w:t xml:space="preserve">6. Сопоставление и маркировка</w:t>
      </w:r>
    </w:p>
    <w:p>
      <w:pPr/>
      <w:r>
        <w:t xml:space="preserve">Каждому требованию заказчика находится пара из заявки, и пункт получает один из пяти статусов с обоснованием и двумя ссылками на источник.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Цвет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Когда ставится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Соответствует</w:t>
            </w:r>
          </w:p>
        </w:tc>
        <w:tc>
          <w:tcPr>
            <w:tcW w:w="3120" w:type="dxa"/>
          </w:tcPr>
          <w:p>
            <w:pPr/>
            <w:r>
              <w:t xml:space="preserve">Зелёный</w:t>
            </w:r>
          </w:p>
        </w:tc>
        <w:tc>
          <w:tcPr>
            <w:tcW w:w="3120" w:type="dxa"/>
          </w:tcPr>
          <w:p>
            <w:pPr/>
            <w:r>
              <w:t xml:space="preserve">Значение выполняет условие и подтверждено документом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Частично</w:t>
            </w:r>
          </w:p>
        </w:tc>
        <w:tc>
          <w:tcPr>
            <w:tcW w:w="3120" w:type="dxa"/>
          </w:tcPr>
          <w:p>
            <w:pPr/>
            <w:r>
              <w:t xml:space="preserve">Жёлтый</w:t>
            </w:r>
          </w:p>
        </w:tc>
        <w:tc>
          <w:tcPr>
            <w:tcW w:w="3120" w:type="dxa"/>
          </w:tcPr>
          <w:p>
            <w:pPr/>
            <w:r>
              <w:t xml:space="preserve">Выполнена часть условия (2 из 3 сертификатов) или документ с истёкшим сроком при подаче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 подтверждено</w:t>
            </w:r>
          </w:p>
        </w:tc>
        <w:tc>
          <w:tcPr>
            <w:tcW w:w="3120" w:type="dxa"/>
          </w:tcPr>
          <w:p>
            <w:pPr/>
            <w:r>
              <w:t xml:space="preserve">Оранжевый</w:t>
            </w:r>
          </w:p>
        </w:tc>
        <w:tc>
          <w:tcPr>
            <w:tcW w:w="3120" w:type="dxa"/>
          </w:tcPr>
          <w:p>
            <w:pPr/>
            <w:r>
              <w:t xml:space="preserve">Заявлено в техпредложении, но нет подтверждающего документа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 соответствует</w:t>
            </w:r>
          </w:p>
        </w:tc>
        <w:tc>
          <w:tcPr>
            <w:tcW w:w="3120" w:type="dxa"/>
          </w:tcPr>
          <w:p>
            <w:pPr/>
            <w:r>
              <w:t xml:space="preserve">Красный</w:t>
            </w:r>
          </w:p>
        </w:tc>
        <w:tc>
          <w:tcPr>
            <w:tcW w:w="3120" w:type="dxa"/>
          </w:tcPr>
          <w:p>
            <w:pPr/>
            <w:r>
              <w:t xml:space="preserve">Значение нарушает условие или пункт отсутствует в заявке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Требует проверки человеком</w:t>
            </w:r>
          </w:p>
        </w:tc>
        <w:tc>
          <w:tcPr>
            <w:tcW w:w="3120" w:type="dxa"/>
          </w:tcPr>
          <w:p>
            <w:pPr/>
            <w:r>
              <w:t xml:space="preserve">Серый</w:t>
            </w:r>
          </w:p>
        </w:tc>
        <w:tc>
          <w:tcPr>
            <w:tcW w:w="3120" w:type="dxa"/>
          </w:tcPr>
          <w:p>
            <w:pPr/>
            <w:r>
              <w:t xml:space="preserve">Уверенность AI ниже порога (по умолчанию 80%) или требуется экспертное суждение (эквивалентность)</w:t>
            </w:r>
          </w:p>
        </w:tc>
      </w:tr>
    </w:tbl>
    <w:p>
      <w:pPr/>
      <w:r>
        <w:rPr>
          <w:b/>
        </w:rPr>
        <w:t xml:space="preserve">Правила сравнения:</w:t>
      </w:r>
    </w:p>
    <w:p>
      <w:pPr>
        <w:pStyle w:val="ListParagraph"/>
        <w:numPr>
          <w:ilvl w:val="0"/>
          <w:numId w:val="10"/>
        </w:numPr>
      </w:pPr>
      <w:r>
        <w:t xml:space="preserve">Числовые параметры — детерминированно, после приведения единиц (код, не нейросеть): условия ≥, ≤, диапазон, равно, допуск ±.</w:t>
      </w:r>
    </w:p>
    <w:p>
      <w:pPr>
        <w:pStyle w:val="ListParagraph"/>
        <w:numPr>
          <w:ilvl w:val="0"/>
          <w:numId w:val="10"/>
        </w:numPr>
      </w:pPr>
      <w:r>
        <w:t xml:space="preserve">Текстовые и смысловые требования («антикоррозийное покрытие», «опыт поставок аналогичного товара») — LLM с обязательным обоснованием и цитатами.</w:t>
      </w:r>
    </w:p>
    <w:p>
      <w:pPr>
        <w:pStyle w:val="ListParagraph"/>
        <w:numPr>
          <w:ilvl w:val="0"/>
          <w:numId w:val="10"/>
        </w:numPr>
      </w:pPr>
      <w:r>
        <w:t xml:space="preserve">Даты и сроки действия — на дату окончания приёма заявок (берётся из документации или вводится вручную).</w:t>
      </w:r>
    </w:p>
    <w:p>
      <w:pPr>
        <w:pStyle w:val="ListParagraph"/>
        <w:numPr>
          <w:ilvl w:val="0"/>
          <w:numId w:val="10"/>
        </w:numPr>
      </w:pPr>
      <w:r>
        <w:t xml:space="preserve">«Или эквивалент» — сравнение по функциональным параметрам, статус не выше «Требует проверки», если часть параметров не найдена.</w:t>
      </w:r>
    </w:p>
    <w:p>
      <w:pPr>
        <w:pStyle w:val="ListParagraph"/>
        <w:numPr>
          <w:ilvl w:val="0"/>
          <w:numId w:val="10"/>
        </w:numPr>
      </w:pPr>
      <w:r>
        <w:t xml:space="preserve">Многопозиционные лоты — сравнение по каждой позиции отдельно, сопоставление позиций заявки с позициями лота по наименованию и номеру.</w:t>
      </w:r>
    </w:p>
    <w:p>
      <w:pPr>
        <w:pStyle w:val="ListParagraph"/>
        <w:numPr>
          <w:ilvl w:val="0"/>
          <w:numId w:val="10"/>
        </w:numPr>
      </w:pPr>
      <w:r>
        <w:t xml:space="preserve">Лишнее в заявке (участник предлагает больше требуемого) не считается несоответствием, но помечается, если противоречит другим требованиям (цена выше начальной).</w:t>
      </w:r>
    </w:p>
    <w:p>
      <w:pPr/>
      <w:r>
        <w:t xml:space="preserve">Пользователь может вручную изменить статус с комментарием; изменение логируется и учитывается в пересчёте процента.</w:t>
      </w:r>
    </w:p>
    <w:p>
      <w:pPr>
        <w:pStyle w:val="Heading2"/>
      </w:pPr>
      <w:r>
        <w:t xml:space="preserve">7. Скоринг: процент соответствия</w:t>
      </w:r>
    </w:p>
    <w:p>
      <w:pPr/>
      <w:r>
        <w:t xml:space="preserve">Итог — взвешенный процент по всем требованиям, но любое невыполненное обязательное требование даёт флаг «Риск отклонения» независимо от процента. Иначе заявка с 95% и одним пропущенным обязательным документом выглядела бы надёжной.</w:t>
      </w:r>
    </w:p>
    <w:p>
      <w:pPr>
        <w:pStyle w:val="Code"/>
      </w:pPr>
      <w:bookmarkStart w:id="1" w:name="bongo_lang_latex_1"/>
      <w:bookmarkEnd w:id="1"/>
      <w:r>
        <w:t xml:space="preserve">S = \frac{\sum_{i} w_i \cdot k_i}{\sum_{i} w_i} \times 100\%</w:t>
      </w:r>
    </w:p>
    <w:p>
      <w:pPr/>
      <w:r>
        <w:t xml:space="preserve">где w — вес требования, k — коэффициент статуса.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Тип требования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 по умолчанию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Соответствует</w:t>
            </w:r>
          </w:p>
        </w:tc>
        <w:tc>
          <w:tcPr>
            <w:tcW w:w="2340" w:type="dxa"/>
          </w:tcPr>
          <w:p>
            <w:pPr/>
            <w:r>
              <w:t xml:space="preserve">1,0</w:t>
            </w:r>
          </w:p>
        </w:tc>
        <w:tc>
          <w:tcPr>
            <w:tcW w:w="2340" w:type="dxa"/>
          </w:tcPr>
          <w:p>
            <w:pPr/>
            <w:r>
              <w:t xml:space="preserve">Обязательное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Частично</w:t>
            </w:r>
          </w:p>
        </w:tc>
        <w:tc>
          <w:tcPr>
            <w:tcW w:w="2340" w:type="dxa"/>
          </w:tcPr>
          <w:p>
            <w:pPr/>
            <w:r>
              <w:t xml:space="preserve">0,5</w:t>
            </w:r>
          </w:p>
        </w:tc>
        <w:tc>
          <w:tcPr>
            <w:tcW w:w="2340" w:type="dxa"/>
          </w:tcPr>
          <w:p>
            <w:pPr/>
            <w:r>
              <w:t xml:space="preserve">Оценочное</w:t>
            </w:r>
          </w:p>
        </w:tc>
        <w:tc>
          <w:tcPr>
            <w:tcW w:w="2340" w:type="dxa"/>
          </w:tcPr>
          <w:p>
            <w:pPr/>
            <w:r>
              <w:t xml:space="preserve">2 (или баллы из критериев оценки)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Не подтверждено</w:t>
            </w:r>
          </w:p>
        </w:tc>
        <w:tc>
          <w:tcPr>
            <w:tcW w:w="2340" w:type="dxa"/>
          </w:tcPr>
          <w:p>
            <w:pPr/>
            <w:r>
              <w:t xml:space="preserve">0,3</w:t>
            </w:r>
          </w:p>
        </w:tc>
        <w:tc>
          <w:tcPr>
            <w:tcW w:w="2340" w:type="dxa"/>
          </w:tcPr>
          <w:p>
            <w:pPr/>
            <w:r>
              <w:t xml:space="preserve">Желательное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Не соответствует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Требует проверки</w:t>
            </w:r>
          </w:p>
        </w:tc>
        <w:tc>
          <w:tcPr>
            <w:tcW w:w="2340" w:type="dxa"/>
          </w:tcPr>
          <w:p>
            <w:pPr/>
            <w:r>
              <w:t xml:space="preserve">исключается из расчёта, показывается диапазон «от–до»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>
      <w:pPr/>
      <w:r>
        <w:rPr>
          <w:b/>
        </w:rPr>
        <w:t xml:space="preserve">Что видит пользователь:</w:t>
      </w:r>
    </w:p>
    <w:p>
      <w:pPr>
        <w:pStyle w:val="ListParagraph"/>
        <w:numPr>
          <w:ilvl w:val="0"/>
          <w:numId w:val="11"/>
        </w:numPr>
      </w:pPr>
      <w:r>
        <w:t xml:space="preserve">Общий процент + отдельно «Товар» и «Участник», а также по категориям (теххарактеристики, документы, квалификация, коммерческие условия).</w:t>
      </w:r>
    </w:p>
    <w:p>
      <w:pPr>
        <w:pStyle w:val="ListParagraph"/>
        <w:numPr>
          <w:ilvl w:val="0"/>
          <w:numId w:val="11"/>
        </w:numPr>
      </w:pPr>
      <w:r>
        <w:t xml:space="preserve">Счётчики: выполнено Х из Y обязательных, число красных / жёлтых / серых пунктов.</w:t>
      </w:r>
    </w:p>
    <w:p>
      <w:pPr>
        <w:pStyle w:val="ListParagraph"/>
        <w:numPr>
          <w:ilvl w:val="0"/>
          <w:numId w:val="11"/>
        </w:numPr>
      </w:pPr>
      <w:r>
        <w:t xml:space="preserve">Итоговый вердикт: «Готова к подаче» (все обязательные зелёные), «Требует доработки», «Риск отклонения».</w:t>
      </w:r>
    </w:p>
    <w:p>
      <w:pPr>
        <w:pStyle w:val="ListParagraph"/>
        <w:numPr>
          <w:ilvl w:val="0"/>
          <w:numId w:val="11"/>
        </w:numPr>
      </w:pPr>
      <w:r>
        <w:t xml:space="preserve">Прогноз «если устранить все рекомендации — станет N%».</w:t>
      </w:r>
    </w:p>
    <w:p>
      <w:pPr/>
      <w:r>
        <w:t xml:space="preserve">Веса и коэффициенты настраиваются администратором; если в документации есть официальные критерии оценки с баллами, оценочные требования взвешиваются по ним.</w:t>
      </w:r>
    </w:p>
    <w:p>
      <w:pPr>
        <w:pStyle w:val="Heading2"/>
      </w:pPr>
      <w:r>
        <w:t xml:space="preserve">8. Аналитический вывод и рекомендации</w:t>
      </w:r>
    </w:p>
    <w:p>
      <w:pPr/>
      <w:r>
        <w:t xml:space="preserve">Вывод — связный текст на 1 страницу, а каждое несоответствие получает конкретное действие, а не общий совет.</w:t>
      </w:r>
    </w:p>
    <w:p>
      <w:pPr/>
      <w:r>
        <w:rPr>
          <w:b/>
        </w:rPr>
        <w:t xml:space="preserve">Состав вывода:</w:t>
      </w:r>
    </w:p>
    <w:p>
      <w:pPr>
        <w:pStyle w:val="ListParagraph"/>
        <w:numPr>
          <w:ilvl w:val="0"/>
          <w:numId w:val="12"/>
        </w:numPr>
      </w:pPr>
      <w:r>
        <w:t xml:space="preserve">Итог в одном предложении: вердикт + процент + число критичных проблем.</w:t>
      </w:r>
    </w:p>
    <w:p>
      <w:pPr>
        <w:pStyle w:val="ListParagraph"/>
        <w:numPr>
          <w:ilvl w:val="0"/>
          <w:numId w:val="12"/>
        </w:numPr>
      </w:pPr>
      <w:r>
        <w:t xml:space="preserve">Критичные несоответствия (ведут к отклонению) — первыми.</w:t>
      </w:r>
    </w:p>
    <w:p>
      <w:pPr>
        <w:pStyle w:val="ListParagraph"/>
        <w:numPr>
          <w:ilvl w:val="0"/>
          <w:numId w:val="12"/>
        </w:numPr>
      </w:pPr>
      <w:r>
        <w:t xml:space="preserve">Несоответствия, снижающие баллы оценки.</w:t>
      </w:r>
    </w:p>
    <w:p>
      <w:pPr>
        <w:pStyle w:val="ListParagraph"/>
        <w:numPr>
          <w:ilvl w:val="0"/>
          <w:numId w:val="12"/>
        </w:numPr>
      </w:pPr>
      <w:r>
        <w:t xml:space="preserve">Риски: документы с истекающим сроком, противоречия внутри заявки, неоднозначности в документации заказчика.</w:t>
      </w:r>
    </w:p>
    <w:p>
      <w:pPr>
        <w:pStyle w:val="ListParagraph"/>
        <w:numPr>
          <w:ilvl w:val="0"/>
          <w:numId w:val="12"/>
        </w:numPr>
      </w:pPr>
      <w:r>
        <w:t xml:space="preserve">Сильные стороны заявки (превышение требований, дополнительные баллы).</w:t>
      </w:r>
    </w:p>
    <w:p>
      <w:pPr>
        <w:pStyle w:val="ListParagraph"/>
        <w:numPr>
          <w:ilvl w:val="0"/>
          <w:numId w:val="12"/>
        </w:numPr>
      </w:pPr>
      <w:r>
        <w:t xml:space="preserve">План действий, отсортированный по влиянию на итог.</w:t>
      </w:r>
    </w:p>
    <w:p>
      <w:pPr/>
      <w:r>
        <w:rPr>
          <w:b/>
        </w:rPr>
        <w:t xml:space="preserve">Структура рекомендации: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Пример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Требование</w:t>
            </w:r>
          </w:p>
        </w:tc>
        <w:tc>
          <w:tcPr>
            <w:tcW w:w="4680" w:type="dxa"/>
          </w:tcPr>
          <w:p>
            <w:pPr/>
            <w:r>
              <w:t xml:space="preserve">U-007: опыт поставок ≥ 3 договоров за 2 года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Что не так</w:t>
            </w:r>
          </w:p>
        </w:tc>
        <w:tc>
          <w:tcPr>
            <w:tcW w:w="4680" w:type="dxa"/>
          </w:tcPr>
          <w:p>
            <w:pPr/>
            <w:r>
              <w:t xml:space="preserve">Приложено 2 договора, один из них без акта выполнения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Действие</w:t>
            </w:r>
          </w:p>
        </w:tc>
        <w:tc>
          <w:tcPr>
            <w:tcW w:w="4680" w:type="dxa"/>
          </w:tcPr>
          <w:p>
            <w:pPr/>
            <w:r>
              <w:t xml:space="preserve">Добавить третий договор и акты выполнения по всем трём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Тип действия</w:t>
            </w:r>
          </w:p>
        </w:tc>
        <w:tc>
          <w:tcPr>
            <w:tcW w:w="4680" w:type="dxa"/>
          </w:tcPr>
          <w:p>
            <w:pPr/>
            <w:r>
              <w:t xml:space="preserve">Добавить документ / Исправить данные / Заменить товар / Запросить разъяснение у заказчика / Неустранимо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Критичность</w:t>
            </w:r>
          </w:p>
        </w:tc>
        <w:tc>
          <w:tcPr>
            <w:tcW w:w="4680" w:type="dxa"/>
          </w:tcPr>
          <w:p>
            <w:pPr/>
            <w:r>
              <w:t xml:space="preserve">Высокая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Влияние на итог</w:t>
            </w:r>
          </w:p>
        </w:tc>
        <w:tc>
          <w:tcPr>
            <w:tcW w:w="4680" w:type="dxa"/>
          </w:tcPr>
          <w:p>
            <w:pPr/>
            <w:r>
              <w:t xml:space="preserve">+6%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Источники</w:t>
            </w:r>
          </w:p>
        </w:tc>
        <w:tc>
          <w:tcPr>
            <w:tcW w:w="4680" w:type="dxa"/>
          </w:tcPr>
          <w:p>
            <w:pPr/>
            <w:r>
              <w:t xml:space="preserve">Документация, стр. 12, п. 3.1; Заявка, «Опыт.pdf», стр. 2</w:t>
            </w:r>
          </w:p>
        </w:tc>
      </w:tr>
    </w:tbl>
    <w:p>
      <w:pPr/>
      <w:r>
        <w:rPr>
          <w:b/>
        </w:rPr>
        <w:t xml:space="preserve">Дополнительно:</w:t>
      </w:r>
    </w:p>
    <w:p>
      <w:pPr>
        <w:pStyle w:val="ListParagraph"/>
        <w:numPr>
          <w:ilvl w:val="0"/>
          <w:numId w:val="13"/>
        </w:numPr>
      </w:pPr>
      <w:r>
        <w:t xml:space="preserve">Черновик запроса на разъяснение положений документации — по противоречиям и неоднозначностям из раздела 4.2.</w:t>
      </w:r>
    </w:p>
    <w:p>
      <w:pPr>
        <w:pStyle w:val="ListParagraph"/>
        <w:numPr>
          <w:ilvl w:val="0"/>
          <w:numId w:val="13"/>
        </w:numPr>
      </w:pPr>
      <w:r>
        <w:t xml:space="preserve">Чек-лист «что дособрать» для сотрудника с отметками выполнения.</w:t>
      </w:r>
    </w:p>
    <w:p>
      <w:pPr>
        <w:pStyle w:val="ListParagraph"/>
        <w:numPr>
          <w:ilvl w:val="0"/>
          <w:numId w:val="13"/>
        </w:numPr>
      </w:pPr>
      <w:r>
        <w:t xml:space="preserve">AI не предлагает искажать факты: если товар не соответствует по характеристике, рекомендация — заменить модель или запросить разъяснение, а не «исправить цифру».</w:t>
      </w:r>
    </w:p>
    <w:p>
      <w:pPr>
        <w:pStyle w:val="Heading2"/>
      </w:pPr>
      <w:r>
        <w:t xml:space="preserve">9. Выходные отчёты и интерфейс</w:t>
      </w:r>
    </w:p>
    <w:p>
      <w:pPr/>
      <w:r>
        <w:t xml:space="preserve">Главный экран — таблица сравнения «требование ↔ заявка» с цветной маркировкой, где клик по пункту открывает оба источника рядом с подсвеченным фрагментом.</w:t>
      </w:r>
    </w:p>
    <w:p>
      <w:pPr/>
      <w:r>
        <w:drawing>
          <wp:inline distT="0" distB="0" distL="0" distR="0">
            <wp:extent cx="5486400" cy="4474028"/>
            <wp:docPr id="1" name="image1" descr="предварительный макет · экран «Сравнение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редварительный макет · экран «Сравнение»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предварительный макет · экран «Сравнение»</w:t>
      </w:r>
    </w:p>
    <w:p>
      <w:pPr/>
      <w:r>
        <w:t xml:space="preserve">Вверху — итог и вердикт, слева — пункты со статусами, справа — цитаты из обоих пакетов по выбранному пункту, обоснование AI и действия. Цифры на макете — пример.</w:t>
      </w:r>
    </w:p>
    <w:p>
      <w:pPr/>
      <w:r>
        <w:rPr>
          <w:b/>
        </w:rPr>
        <w:t xml:space="preserve">Экраны: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Проекты (лоты)</w:t>
      </w:r>
      <w:r>
        <w:t xml:space="preserve"> — список проверок: лот, заказчик, дедлайн подачи, % соответствия, статус.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Загрузка</w:t>
      </w:r>
      <w:r>
        <w:t xml:space="preserve"> — две зоны (заказчик / участник), прогресс обработки по этапам, предупреждения о нечитаемых страницах.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Чек-лист требований</w:t>
      </w:r>
      <w:r>
        <w:t xml:space="preserve"> — редактируемая таблица с фильтрами (товар / участник, тип, категория, позиция), кнопка «Утвердить».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Сравнение</w:t>
      </w:r>
      <w:r>
        <w:t xml:space="preserve"> — таблица со статусами + панель просмотра документов справа (split-view), фильтр «только проблемы».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Сводка</w:t>
      </w:r>
      <w:r>
        <w:t xml:space="preserve"> — процент, вердикт, распределение по категориям, аналитический вывод, план действий.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Сравнение участников</w:t>
      </w:r>
      <w:r>
        <w:t xml:space="preserve"> (для заказчика) — матрица «требование × участник».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История версий</w:t>
      </w:r>
      <w:r>
        <w:t xml:space="preserve"> — динамика процента по итерациям и что изменилось.</w:t>
      </w:r>
    </w:p>
    <w:p>
      <w:pPr/>
      <w:r>
        <w:rPr>
          <w:b/>
        </w:rPr>
        <w:t xml:space="preserve">Экспорт:</w:t>
      </w:r>
      <w:r>
        <w:t xml:space="preserve"> PDF-отчёт (сводка + таблица + рекомендации), XLSX (чек-листы и сравнение), DOCX (запрос на разъяснение), JSON/API для интеграции.</w:t>
      </w:r>
    </w:p>
    <w:p>
      <w:pPr/>
      <w:r>
        <w:rPr>
          <w:b/>
        </w:rPr>
        <w:t xml:space="preserve">Интерфейс:</w:t>
      </w:r>
      <w:r>
        <w:t xml:space="preserve"> веб (адаптивный), языки интерфейса RU / UZ (латиница) / EN; встроенный чат по проекту («почему пункт U-007 красный?») с ответами только по загруженным документам.</w:t>
      </w:r>
    </w:p>
    <w:p>
      <w:pPr>
        <w:pStyle w:val="Heading2"/>
      </w:pPr>
      <w:r>
        <w:t xml:space="preserve">10. Нефункциональные требования</w:t>
      </w:r>
    </w:p>
    <w:p>
      <w:pPr/>
      <w:r>
        <w:t xml:space="preserve">Принцип — каждый вывод системы проверяем: без ссылки на страницу и цитату статус не выставляется.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Область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Точность OCR</w:t>
            </w:r>
          </w:p>
        </w:tc>
        <w:tc>
          <w:tcPr>
            <w:tcW w:w="4680" w:type="dxa"/>
          </w:tcPr>
          <w:p>
            <w:pPr/>
            <w:r>
              <w:t xml:space="preserve">≤ 2% ошибок на символ (CER) на сканах ≥ 200 dpi; ≤ 5% на фото с телефона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Точность чисел</w:t>
            </w:r>
          </w:p>
        </w:tc>
        <w:tc>
          <w:tcPr>
            <w:tcW w:w="4680" w:type="dxa"/>
          </w:tcPr>
          <w:p>
            <w:pPr/>
            <w:r>
              <w:t xml:space="preserve">100% совпадение цифр в требованиях с оригиналом при уверенности ≥ 90%; ниже — на ручную проверку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Защита от галлюцинаций</w:t>
            </w:r>
          </w:p>
        </w:tc>
        <w:tc>
          <w:tcPr>
            <w:tcW w:w="4680" w:type="dxa"/>
          </w:tcPr>
          <w:p>
            <w:pPr/>
            <w:r>
              <w:t xml:space="preserve">Требование без цитаты из источника не попадает в чек-лист; автопроверка, что цитата есть в тексте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Скорость</w:t>
            </w:r>
          </w:p>
        </w:tc>
        <w:tc>
          <w:tcPr>
            <w:tcW w:w="4680" w:type="dxa"/>
          </w:tcPr>
          <w:p>
            <w:pPr/>
            <w:r>
              <w:t xml:space="preserve">Пакет до 100 стр. — ≤ 10 мин; до 500 стр. — ≤ 30 мин; промежуточные результаты показываются по мере готовности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Нагрузка</w:t>
            </w:r>
          </w:p>
        </w:tc>
        <w:tc>
          <w:tcPr>
            <w:tcW w:w="4680" w:type="dxa"/>
          </w:tcPr>
          <w:p>
            <w:pPr/>
            <w:r>
              <w:t xml:space="preserve">≥ 50 одновременных проверок с горизонтальным масштабированием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Конфиденциальность</w:t>
            </w:r>
          </w:p>
        </w:tc>
        <w:tc>
          <w:tcPr>
            <w:tcW w:w="4680" w:type="dxa"/>
          </w:tcPr>
          <w:p>
            <w:pPr/>
            <w:r>
              <w:t xml:space="preserve">Изоляция данных компаний; шифрование TLS 1.2+ и AES-256 на хранении; документы не используются для обучения моделей без согласия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Хранение</w:t>
            </w:r>
          </w:p>
        </w:tc>
        <w:tc>
          <w:tcPr>
            <w:tcW w:w="4680" w:type="dxa"/>
          </w:tcPr>
          <w:p>
            <w:pPr/>
            <w:r>
              <w:t xml:space="preserve">Срок хранения настраивается (по умолчанию 12 мес); удаление по запросу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Персональные данные</w:t>
            </w:r>
          </w:p>
        </w:tc>
        <w:tc>
          <w:tcPr>
            <w:tcW w:w="4680" w:type="dxa"/>
          </w:tcPr>
          <w:p>
            <w:pPr/>
            <w:r>
              <w:t xml:space="preserve">Соответствие законодательству РУз о персональных данных, в т.ч. локализация хранения (уточнить у юриста)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Доступ</w:t>
            </w:r>
          </w:p>
        </w:tc>
        <w:tc>
          <w:tcPr>
            <w:tcW w:w="4680" w:type="dxa"/>
          </w:tcPr>
          <w:p>
            <w:pPr/>
            <w:r>
              <w:t xml:space="preserve">Роли (администратор, специалист, просмотр), журнал действий, вход по телефону / SSO площадки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Доступность</w:t>
            </w:r>
          </w:p>
        </w:tc>
        <w:tc>
          <w:tcPr>
            <w:tcW w:w="4680" w:type="dxa"/>
          </w:tcPr>
          <w:p>
            <w:pPr/>
            <w:r>
              <w:t xml:space="preserve">99,5% в месяц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Объяснимость</w:t>
            </w:r>
          </w:p>
        </w:tc>
        <w:tc>
          <w:tcPr>
            <w:tcW w:w="4680" w:type="dxa"/>
          </w:tcPr>
          <w:p>
            <w:pPr/>
            <w:r>
              <w:t xml:space="preserve">У каждого статуса — текстовое обоснование и две ссылки на источник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Воспроизводимость</w:t>
            </w:r>
          </w:p>
        </w:tc>
        <w:tc>
          <w:tcPr>
            <w:tcW w:w="4680" w:type="dxa"/>
          </w:tcPr>
          <w:p>
            <w:pPr/>
            <w:r>
              <w:t xml:space="preserve">Повторный запуск на тех же файлах даёт тот же результат (фиксация версии модели и промптов)</w:t>
            </w:r>
          </w:p>
        </w:tc>
      </w:tr>
    </w:tbl>
    <w:p>
      <w:pPr>
        <w:pStyle w:val="Heading2"/>
      </w:pPr>
      <w:r>
        <w:t xml:space="preserve">11. Архитектура и AI-стек (предварительно)</w:t>
      </w:r>
    </w:p>
    <w:p>
      <w:pPr/>
      <w:r>
        <w:t xml:space="preserve">Архитектура гибридная: LLM извлекает и интерпретирует, а числа, даты и итоговый процент считает код — так результат воспроизводим и проверяем.</w:t>
      </w:r>
    </w:p>
    <w:p>
      <w:pPr/>
      <w:r>
        <w:drawing>
          <wp:inline distT="0" distB="0" distL="0" distR="0">
            <wp:extent cx="5486400" cy="4155621"/>
            <wp:docPr id="2" name="image2" descr="конвейер обработки · 5 этап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конвейер обработки · 5 этапов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конвейер обработки · 5 этапов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Компонент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Варианты реализации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Распознавание и макет</w:t>
            </w:r>
          </w:p>
        </w:tc>
        <w:tc>
          <w:tcPr>
            <w:tcW w:w="4680" w:type="dxa"/>
          </w:tcPr>
          <w:p>
            <w:pPr/>
            <w:r>
              <w:t xml:space="preserve">Мультимодальная LLM (Claude, GPT, Gemini) + специализированный OCR для плотных таблиц (Azure Document Intelligence, Google Document AI, ABBYY или open-source PaddleOCR / Surya)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Извлечение и сопоставление</w:t>
            </w:r>
          </w:p>
        </w:tc>
        <w:tc>
          <w:tcPr>
            <w:tcW w:w="4680" w:type="dxa"/>
          </w:tcPr>
          <w:p>
            <w:pPr/>
            <w:r>
              <w:t xml:space="preserve">LLM с длинным контекстом, структурированный вывод (JSON-схема), обязательные цитаты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Поиск по документам</w:t>
            </w:r>
          </w:p>
        </w:tc>
        <w:tc>
          <w:tcPr>
            <w:tcW w:w="4680" w:type="dxa"/>
          </w:tcPr>
          <w:p>
            <w:pPr/>
            <w:r>
              <w:t xml:space="preserve">Векторный индекс (pgvector) для поиска подтверждений в больших пакетах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Правила и скоринг</w:t>
            </w:r>
          </w:p>
        </w:tc>
        <w:tc>
          <w:tcPr>
            <w:tcW w:w="4680" w:type="dxa"/>
          </w:tcPr>
          <w:p>
            <w:pPr/>
            <w:r>
              <w:t xml:space="preserve">Код (Python): нормализация единиц, сравнение чисел и дат, расчёт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Хранение</w:t>
            </w:r>
          </w:p>
        </w:tc>
        <w:tc>
          <w:tcPr>
            <w:tcW w:w="4680" w:type="dxa"/>
          </w:tcPr>
          <w:p>
            <w:pPr/>
            <w:r>
              <w:t xml:space="preserve">PostgreSQL + S3-совместимое хранилище файлов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Очередь задач</w:t>
            </w:r>
          </w:p>
        </w:tc>
        <w:tc>
          <w:tcPr>
            <w:tcW w:w="4680" w:type="dxa"/>
          </w:tcPr>
          <w:p>
            <w:pPr/>
            <w:r>
              <w:t xml:space="preserve">Асинхронная обработка по страницам и файлам (Celery / RabbitMQ или аналог)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Интеграции</w:t>
            </w:r>
          </w:p>
        </w:tc>
        <w:tc>
          <w:tcPr>
            <w:tcW w:w="4680" w:type="dxa"/>
          </w:tcPr>
          <w:p>
            <w:pPr/>
            <w:r>
              <w:t xml:space="preserve">REST API; импорт лотов из TenderZone, встраивание в TenderGPT как модуль комиссии</w:t>
            </w:r>
          </w:p>
        </w:tc>
      </w:tr>
    </w:tbl>
    <w:p>
      <w:pPr/>
      <w:r>
        <w:t xml:space="preserve">Выбор конкретной модели делается по результатам теста на наборе из 20–30 реальных тендеров (см. раздел 12), с учётом требований к хранению данных.</w:t>
      </w:r>
    </w:p>
    <w:p>
      <w:pPr>
        <w:pStyle w:val="Heading2"/>
      </w:pPr>
      <w:r>
        <w:t xml:space="preserve">12. Разработка и приёмка</w:t>
      </w:r>
    </w:p>
    <w:p>
      <w:pPr/>
      <w:r>
        <w:t xml:space="preserve">Приёмка идёт на эталонном наборе: 20–30 реальных тендеров с заявками, для которых эксперт вручную составил правильные чек-листы и статусы. Состав набора: товары, работы, услуги; текстовые PDF, сканы, фото, чертежи; три языка.</w:t>
      </w:r>
    </w:p>
    <w:p>
      <w:pPr/>
      <w:r>
        <w:rPr>
          <w:b/>
        </w:rPr>
        <w:t xml:space="preserve">Этапы: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Исследование и прототип.</w:t>
      </w:r>
      <w:r>
        <w:t xml:space="preserve"> Сбор эталонного набора, сравнение 2–3 моделей на OCR и извлечении. Результат: выбор стека, схема данных чек-листа.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MVP.</w:t>
      </w:r>
      <w:r>
        <w:t xml:space="preserve"> Загрузка, распознавание, чек-лист заказчика и заявки, сравнение, процент, вывод, экспорт PDF/XLSX. Языки RU/UZ/EN.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Пилот.</w:t>
      </w:r>
      <w:r>
        <w:t xml:space="preserve"> 5–10 компаний-поставщиков на реальных тендерах, сбор ошибок и доработка.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Расширение.</w:t>
      </w:r>
      <w:r>
        <w:t xml:space="preserve"> Режим заказчика (N заявок), DWG/DXF, проверка по внешним реестрам, интеграция с TenderZone / TenderGPT, API.</w:t>
      </w:r>
    </w:p>
    <w:p>
      <w:pPr/>
      <w:r>
        <w:rPr>
          <w:b/>
        </w:rPr>
        <w:t xml:space="preserve">Критерии приёмки MVP:</w:t>
      </w:r>
    </w:p>
    <w:p>
      <w:pPr>
        <w:pStyle w:val="ListParagraph"/>
        <w:numPr>
          <w:ilvl w:val="0"/>
          <w:numId w:val="16"/>
        </w:numPr>
      </w:pPr>
      <w:r>
        <w:t xml:space="preserve">☐ Полнота извлечения обязательных требований  100% на эталонном наборе</w:t>
      </w:r>
    </w:p>
    <w:p>
      <w:pPr>
        <w:pStyle w:val="ListParagraph"/>
        <w:numPr>
          <w:ilvl w:val="0"/>
          <w:numId w:val="16"/>
        </w:numPr>
      </w:pPr>
      <w:r>
        <w:t xml:space="preserve">☐ Точность статусов соответствия  100% (без учёта «Требует проверки»), доля «Требует проверки» ≤ 15%</w:t>
      </w:r>
    </w:p>
    <w:p>
      <w:pPr>
        <w:pStyle w:val="ListParagraph"/>
        <w:numPr>
          <w:ilvl w:val="0"/>
          <w:numId w:val="16"/>
        </w:numPr>
      </w:pPr>
      <w:r>
        <w:t xml:space="preserve">☐ 0 случаев «Соответствует» для реально невыполненных обязательных требований (самая дорогая ошибка)</w:t>
      </w:r>
    </w:p>
    <w:p>
      <w:pPr>
        <w:pStyle w:val="ListParagraph"/>
        <w:numPr>
          <w:ilvl w:val="0"/>
          <w:numId w:val="16"/>
        </w:numPr>
      </w:pPr>
      <w:r>
        <w:t xml:space="preserve">☐ У 100% пунктов есть рабочая ссылка на страницу источника</w:t>
      </w:r>
    </w:p>
    <w:p>
      <w:pPr>
        <w:pStyle w:val="ListParagraph"/>
        <w:numPr>
          <w:ilvl w:val="0"/>
          <w:numId w:val="16"/>
        </w:numPr>
      </w:pPr>
      <w:r>
        <w:t xml:space="preserve">☐ Пакет до 100 страниц обрабатывается за ≤ 10 мин</w:t>
      </w:r>
    </w:p>
    <w:p>
      <w:pPr>
        <w:pStyle w:val="ListParagraph"/>
        <w:numPr>
          <w:ilvl w:val="0"/>
          <w:numId w:val="16"/>
        </w:numPr>
      </w:pPr>
      <w:r>
        <w:t xml:space="preserve">☐ Эксперт оценивает рекомендации как применимые в ≥ 80% случаев</w:t>
      </w:r>
    </w:p>
    <w:p>
      <w:pPr>
        <w:pStyle w:val="Heading2"/>
      </w:pPr>
      <w:r>
        <w:t xml:space="preserve">13. Открытые вопросы</w:t>
      </w:r>
    </w:p>
    <w:p>
      <w:pPr>
        <w:pStyle w:val="ListParagraph"/>
        <w:numPr>
          <w:ilvl w:val="0"/>
          <w:numId w:val="17"/>
        </w:numPr>
      </w:pPr>
      <w:r>
        <w:t xml:space="preserve">☐ Где живёт продукт: отдельный сервис, AI-компонент TenderZone (фаза 3 «проверка комплекта документов») или модуль комиссии TenderGPT?</w:t>
      </w:r>
    </w:p>
    <w:p>
      <w:pPr>
        <w:pStyle w:val="ListParagraph"/>
        <w:numPr>
          <w:ilvl w:val="0"/>
          <w:numId w:val="17"/>
        </w:numPr>
      </w:pPr>
      <w:r>
        <w:t xml:space="preserve">☐ Кто первичный клиент MVP: поставщик (самопроверка) или заказчик (проверка N заявок)?</w:t>
      </w:r>
    </w:p>
    <w:p>
      <w:pPr>
        <w:pStyle w:val="ListParagraph"/>
        <w:numPr>
          <w:ilvl w:val="0"/>
          <w:numId w:val="17"/>
        </w:numPr>
      </w:pPr>
      <w:r>
        <w:t xml:space="preserve">☐ На какие виды закупок ориентироваться в первую очередь: госзакупки РУз (тендер, конкурс, отбор наилучших предложений), корпоративные, международные (Всемирный банк, АБР)?</w:t>
      </w:r>
    </w:p>
    <w:p>
      <w:pPr>
        <w:pStyle w:val="ListParagraph"/>
        <w:numPr>
          <w:ilvl w:val="0"/>
          <w:numId w:val="17"/>
        </w:numPr>
      </w:pPr>
      <w:r>
        <w:t xml:space="preserve">☐ Отрасли для эталонного набора и кто его разметит (тендерный эксперт, сроки)?</w:t>
      </w:r>
    </w:p>
    <w:p>
      <w:pPr>
        <w:pStyle w:val="ListParagraph"/>
        <w:numPr>
          <w:ilvl w:val="0"/>
          <w:numId w:val="17"/>
        </w:numPr>
      </w:pPr>
      <w:r>
        <w:t xml:space="preserve">☐ Облако или on-premise; допустимо ли отправлять документы во внешние AI-API с учётом локализации персональных данных?</w:t>
      </w:r>
    </w:p>
    <w:p>
      <w:pPr>
        <w:pStyle w:val="ListParagraph"/>
        <w:numPr>
          <w:ilvl w:val="0"/>
          <w:numId w:val="17"/>
        </w:numPr>
      </w:pPr>
      <w:r>
        <w:t xml:space="preserve">☐ Модель монетизации: подписка, оплата за проверку или за страницы?</w:t>
      </w:r>
    </w:p>
    <w:p>
      <w:pPr>
        <w:pStyle w:val="ListParagraph"/>
        <w:numPr>
          <w:ilvl w:val="0"/>
          <w:numId w:val="17"/>
        </w:numPr>
      </w:pPr>
      <w:r>
        <w:t xml:space="preserve">☐ Нужен ли дисклеймер, что отчёт носит рекомендательный характер и не заменяет решение комиссии?</w:t>
      </w:r>
    </w:p>
    <w:p>
      <w:pPr>
        <w:pStyle w:val="ListParagraph"/>
        <w:numPr>
          <w:ilvl w:val="0"/>
          <w:numId w:val="17"/>
        </w:numPr>
      </w:pPr>
      <w:r>
        <w:t xml:space="preserve">☐ Название продукта.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AI-инструмент сравнения тендерных требований и заявок</dc:title>
  <dc:description>Claude Docs node/6f9465bf-1b68@42 docx-w6</dc:description>
  <cp:revision>42</cp:revision>
</cp:coreProperties>
</file>