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15.7 (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والسجل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AI_MEMORY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بنوعيها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-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DocumentProperties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-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){ // ✅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const PROP_SERVICE = PropertiesService.getDocumentProperties();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CONTEXT_KEY = 'AI_SESSION_CONTEXT';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✅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 1.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0"/>
        </w:rPr>
        <w:t xml:space="preserve">) 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 @function loadSessionContext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lastPrompt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function loadSessionContext()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const raw = PROP_SERVICE.getProperty(CONTEXT_KEY);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const context = raw ? JSON.parse(raw) : { history: [] 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HELPERS.logOperation('AI_MEMORY', 'loadSessionContext:success', { contextKeys: Object.keys(context) 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return context;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loadSessionContext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return { history: [] 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* @function saveSessionContext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ctx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function saveSessionContext(ctx)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PROP_SERVICE.setProperty(CONTEXT_KEY, JSON.stringify(ctx));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HELPERS.logOperation('AI_MEMORY', 'saveSessionContext:success', { contextKeys: Object.keys(ctx) 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saveSessionContext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* @function clearSessionContext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function clearSessionContext()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saveSessionContext({});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clearSessionContext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executed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{});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", "✅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.");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* @function repeatLastPrompt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().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–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function repeatLastPrompt()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repeatLastPrompt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{});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const ctx = loadSessionContext();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(!ctx.lastPrompt)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repeatLastPrompt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{});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0"/>
        </w:rPr>
        <w:t xml:space="preserve">", "⚠️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.");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repeatLastPrompt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calling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ctx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lastPrompt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ctx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lastModel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الاستدعاء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ctx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lastPrompt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ctx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lastModel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 2.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0"/>
        </w:rPr>
        <w:t xml:space="preserve">) ==========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لخارطة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والمراجعات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للتسجيل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loadSessionContext,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saveSessionContext,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clearSessionContext,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repeatLastPrompt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التصدير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})(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); // ✅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