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@module GAssistant.Tools.CodeReview – v17.0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تهيئ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GeminiScriptDoctor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GAssistant.Tools.CodeReview = (function(GA_GeminiScriptDoctor, GA_Helpers, GA_AI_Memory, GA_Config)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@function reviewCodeForSidebar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🎯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CodeReviewSidebar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scriptText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–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feedbackItems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function reviewCodeForSidebar(scriptText)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const sessionId = new Date().toISOString();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GA_AI_Memory.logOperation('GAssistant.Tools.CodeReview', 'reviewCodeForSidebar:start', { sessionId, length: scriptText.length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UrlFetchApp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متزامن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() / .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GeminiScriptDoctor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scriptText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GeminiScriptDoctor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if (result?.overallScore === undefined)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'reviewCodeForSidebar:incomplete_response', { result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GA_AI_Memory.logOperation('GAssistant.Tools.CodeReview', 'reviewCodeForSidebar:success', { score: result.overallScore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GA_Helpers.logOperation('GAssistant.Tools.CodeReview', 'reviewCodeForSidebar:failure',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error: e.message,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stack: e.stack,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scriptTextPreview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scriptText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(0, 100)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التصحيح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CodeReviewSidebar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overallScore: 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: "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feedbackItems: [],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📦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التصدير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reviewCodeForSidebar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GeminiScriptDoctor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GAssistant.Helpers,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GAssistant.AI.Memory,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reviewCodeForSidebar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function reviewCodeForSidebar(scriptText)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return GAssistant.Tools.CodeReview.reviewCodeForSidebar(scriptText);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