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533s6vqd7pcm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👨‍💻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ملخص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للمطورين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: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معمارية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3"/>
          <w:szCs w:val="33"/>
          <w:rtl w:val="1"/>
        </w:rPr>
        <w:t xml:space="preserve">وتصميم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G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-</w:t>
      </w:r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Assistant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مشروع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Assistant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مصمم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بمعمارية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معيارية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Modular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Architecture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قوية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تهدف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سهولة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الصيانة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التوسعة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وفصل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الاهتمامات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يعتمد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بشكل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كبير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نمط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IIFE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Immediately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Invoked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Function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Expression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لتغليف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الوحدات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مما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يوفر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نطاق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خاص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لكل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وحدة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ويمنع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تضارب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الأسماء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scn0wuq69gbh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🧠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المعمارية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الأساسية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الفصل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الواضح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للطبقات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طبقة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الواجهة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UI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Layer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التحكم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فيها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بواسطة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ui.gs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وملفات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HTML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Sidebar.html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BuiltinDocsSidebar.html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WorkshopSidebar.html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هذه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الطبقة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مسؤولة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التفاعل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وعرض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المعلومات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طبقة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المنطق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للذكاء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الاصطناعي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AI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Core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Logic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تتمثل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ai_core.gs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محرك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الاتصال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بـ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ai_config.gs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الإعدادات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ai_context.gs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بناء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السياق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)،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ai_memory.gs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إدارة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الذاكرة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)،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ai_dispatcher.gs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توجيه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واستدعاء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).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هذه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عقل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"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المساعد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طبقة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الأدوات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Tools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Layer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مجموعة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الوحدات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المتخصصة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tools_sheets.gs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tools_accounting.gs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tools_code_review.gs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tools_ai_helpers.gs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كل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وحدة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توفر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مجموعة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الدوال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يمكن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لنموذج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استدعاؤها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لتنفيذ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مهام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محددة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Sheets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غيرها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طبقة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المساعدات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العامة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Helpers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Layer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تتمثل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helpers.gs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وتقدم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دوال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مساعدة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عامة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مثل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تسجيل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معالجة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الأخطاء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وتنسيق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طبقة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التكوين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والبيئة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Configuration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&amp;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Environment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تتمثل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ENV.gs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SETTINGS_PROVIDER.gs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وتوفر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إعدادات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النظام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العامة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والخاصة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بالذكاء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الاصطناعي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استدعاء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الدوال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Function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Calling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يستخدم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المشروع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ميزة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function_calling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المتقدمة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تعريف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جميع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المتاحة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لـ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 Catalog.gs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والذي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يولد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Function Declarations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لـ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API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ai_dispatcher.gs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هو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المسؤول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تحليل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استجابات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وتحديد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الأداة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المناسبة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للاستدعاء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وتنفيذها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إدارة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السياق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والذاكرة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ai_context.gs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يجمع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المعلومات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السياقية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الهامة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دور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الخلية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النشطة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سجل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لتقديمها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لنموذج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ai_memory.gs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يدير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ذاكرة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الجلسة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قصيرة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المدى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وسجل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طويلة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المدى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لتمكين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المحادثات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المستمرة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وتتبع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الأداء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معالجة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الأخطاء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والتسجيل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helpers.gs.logOperation()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لتسجيل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جميع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العمليات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الهامة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مما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يسهل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تتبع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الأداء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وتصحيح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الأخطاء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AI_TOOLS_DIALOGUE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الموجودة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ضمن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tools_dialogue.gs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توحد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تنسيق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رسائل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نجاح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خطأ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تحذير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معلومات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لضمان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تجربة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مستخدم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متسقة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mznwhoq5qr19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💡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نقاط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تصميم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رئيسية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المرونة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والتوسعة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يسهل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الهيكل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المعياري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إضافة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جديدة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أو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تعديل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الأدوات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الموجودة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دون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التأثير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أجزاء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أخرى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النظام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فصل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الواجهة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عن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المنطق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فصل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منطق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الواجهة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الأمامية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مما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يجعل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الواجهة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أكثر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خفة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وسهولة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الاستفادة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AI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نماذج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بذكاء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لمجموعة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واسعة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المهام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التحليل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النصي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إلى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توليد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والصيغ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التعامل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مع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المنظمة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يتم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responseMimeType: "application/json"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responseSchema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طلبات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Gemini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للحصول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استجابات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منظمة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مما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يسهل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معالجة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برمجي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ً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ccdcwfgc5v3h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🛠️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أدوات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30"/>
          <w:szCs w:val="30"/>
          <w:rtl w:val="1"/>
        </w:rPr>
        <w:t xml:space="preserve">التطوير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ورشة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العمل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البرمجية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workshop.gs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تساعد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المطورين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تحليل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اقتراح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الملفات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المناسبة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وتجهيزه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للمراجعة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أدوات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مراجعة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tools_code_review.gs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توفر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قدرات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مراجعة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شرحه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توليد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الاختبارات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والتوثيق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وتحسين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الأداء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الذكاء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الاصطناعي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نظام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1"/>
        </w:rPr>
        <w:t xml:space="preserve">الاختبارات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tests.gs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يضمن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جودة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الكود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خلال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اختبارات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الوحدة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والتكامل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1"/>
        </w:rPr>
        <w:t xml:space="preserve">هذا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الملخص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يقدم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نظرة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عامة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الجوانب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الهندسية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للمشروع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،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مما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يساعد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المطورين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الجدد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على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فهم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بنيته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والمساهمة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فيه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b1c1d"/>
          <w:sz w:val="24"/>
          <w:szCs w:val="24"/>
          <w:rtl w:val="1"/>
        </w:rPr>
        <w:t xml:space="preserve">بفعالية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