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99_Code.gs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والقوائم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UI Functions (called from Menus &amp; Sidebars)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 onOpen()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GAssistant.UI.onOpen();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showAssistantSidebar()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GAssistant.UI.showAssistantSidebar();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 showDeveloperSidebar()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GAssistant.UI.showDeveloperSidebar();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getCodeFromActiveCell()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GAssistant.UI.getCodeFromActiveCell();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updateActiveCellWithCode(code)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GAssistant.UI.updateActiveCellWithCode(code);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AI Core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askGemini(userPrompt, options)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return GAssistant.AI.Core.ask(userPrompt, options);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Tool Functions (exposed to UI and Menus)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--- Sheet Tools 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function summarizeActiveSheetWithGemini()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return GAssistant.Tools.Sheets.summarizeActiveSheetWithGemini();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function suggestFormulaWithGemini(description)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GAssistant.Tools.Sheets.suggestFormulaWithGemini(description);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--- Developer Tools 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 reviewCode(code, reviewType)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GAssistant.Tools.CodeReview.reviewCode({ code, reviewType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getBuiltinFunctionDoc(functionName)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GAssistant.Tools.Developer.getBuiltinFunctionDoc({ functionName 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function suggestTargetFile(functionCode)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GAssistant.Tools.Developer.suggestTargetFile(functionCode);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 stageCodeInWorkshop(functionCode, suggestedFile)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return GAssistant.Tools.Developer.stageCodeInWorkshop(functionCode, suggestedFile);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function analyzeProject(userQuery)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 GAssistant.Tools.ProjectInsights.analyzeProject(userQuery);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 exportToolsDocumentationToDoc()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GAssistant.Tools.Developer.exportToolsDocumentationToDoc();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System &amp; Testing Functions (exposed to Menus)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============================================================================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function clearSessionContext()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GAssistant.AI.Memory.clearSessionContext();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المسح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 runAllTests()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results = GAssistant.Tests.runAllTests();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اكتمل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return results;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