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The logs show a large number of TCP SYN requests originating from an unfamiliar IP address, overwhelming the web server. This event could be a Denial of Service (DoS) attack.A DoS attack is a cyberattack intended to disrupt a service or resource by overwhelming it with traffic. In this case, the attacker is flooding the web server with SYN packets, preventing it from establishing legitimate connections and processing requests.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This specific type of DoS attack is often referred to as a SYN flood attack.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Three-Way Handshake: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SYN: The client sends a SYN packet to the server, requesting a connection.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SYN-ACK: The server receives the SYN packet and responds with a SYN-ACK packet, acknowledging the request and initiating the connection.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ACK: The client receives the SYN-ACK packet and sends an ACK packet back to the server, confirming the connection.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Malicious Actor Sending a Large Number of SYN Packets: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When a malicious actor sends a large number of SYN packets all at once, it overwhelms the server's resources. The server is forced to allocate resources for each incoming SYN packet, expecting a subsequent ACK packet to complete the connection. However, the attacker doesn't send the ACK packets, leaving the server with a large number of half-open connections.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Log Indications and Server Impact: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The logs indicate a large number of TCP SYN requests coming from an unfamiliar IP address. This suggests that the server is being flooded with connection requests.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The impact on the server is significant: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Resource Exhaustion: As the server allocates resources for each half-open connection, it eventually runs out of available resources, such as memory and CPU cycles.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Service Disruption: The server becomes unable to handle legitimate connection requests from other clients, leading to service outages and performance degradation.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Google Sans Text" w:cs="Google Sans Text" w:eastAsia="Google Sans Text" w:hAnsi="Google Sans Text"/>
                <w:sz w:val="21"/>
                <w:szCs w:val="21"/>
              </w:rPr>
            </w:pPr>
            <w:r w:rsidDel="00000000" w:rsidR="00000000" w:rsidRPr="00000000">
              <w:rPr>
                <w:rFonts w:ascii="Google Sans Text" w:cs="Google Sans Text" w:eastAsia="Google Sans Text" w:hAnsi="Google Sans Text"/>
                <w:sz w:val="21"/>
                <w:szCs w:val="21"/>
                <w:rtl w:val="0"/>
              </w:rPr>
              <w:t xml:space="preserve">Security Risk: The attacker could potentially exploit vulnerabilities in the server's software or configuration to gain unauthorized access.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